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ptos Display" w:hAnsi="Aptos Display"/>
          <w:b/>
          <w:color w:val="000000"/>
          <w:sz w:val="50"/>
        </w:rPr>
        <w:t>History of Occupational Health and Safety and Safety Thought</w:t>
      </w:r>
    </w:p>
    <w:p>
      <w:pPr>
        <w:pStyle w:val="Subtitle"/>
      </w:pPr>
      <w:r>
        <w:rPr>
          <w:rFonts w:ascii="Aptos" w:hAnsi="Aptos"/>
          <w:b w:val="0"/>
          <w:i w:val="0"/>
          <w:color w:val="444444"/>
          <w:sz w:val="26"/>
        </w:rPr>
        <w:t>Critical Timeline Key Researchers Reading List and Author Videos</w:t>
      </w:r>
    </w:p>
    <w:p>
      <w:pPr>
        <w:spacing w:before="360"/>
      </w:pPr>
      <w:r>
        <w:rPr>
          <w:rFonts w:ascii="Aptos" w:hAnsi="Aptos"/>
          <w:b/>
          <w:color w:val="000000"/>
          <w:sz w:val="22"/>
        </w:rPr>
        <w:t>Prepared for Brett Humphrey</w:t>
      </w:r>
    </w:p>
    <w:p>
      <w:r>
        <w:rPr>
          <w:rFonts w:ascii="Aptos" w:hAnsi="Aptos"/>
          <w:color w:val="444444"/>
          <w:sz w:val="21"/>
        </w:rPr>
        <w:t>Ontario Canada  |  September 2026</w:t>
      </w:r>
    </w:p>
    <w:p>
      <w:r/>
    </w:p>
    <w:p>
      <w:pPr>
        <w:spacing w:before="400"/>
      </w:pPr>
      <w:r>
        <w:rPr>
          <w:rFonts w:ascii="Aptos" w:hAnsi="Aptos"/>
          <w:b/>
          <w:color w:val="000000"/>
          <w:sz w:val="24"/>
        </w:rPr>
        <w:t>Purpose</w:t>
      </w:r>
    </w:p>
    <w:p>
      <w:pPr>
        <w:spacing w:after="160"/>
      </w:pPr>
      <w:r>
        <w:rPr>
          <w:rFonts w:ascii="Aptos" w:hAnsi="Aptos"/>
          <w:color w:val="000000"/>
          <w:sz w:val="21"/>
        </w:rPr>
        <w:t>This document reviews and expands an earlier manufacturing-safety timeline. It identifies the major intellectual, regulatory and technical developments that shaped occupational health and safety, explains the contribution and limitations of influential researchers, and provides a sequenced academic reading list with verified video resources.</w:t>
      </w:r>
    </w:p>
    <w:p>
      <w:r>
        <w:rPr>
          <w:rFonts w:ascii="Aptos" w:hAnsi="Aptos"/>
          <w:b/>
          <w:color w:val="000000"/>
          <w:sz w:val="21"/>
        </w:rPr>
        <w:t>Main conclusion: the history of safety is not a clean progression in which each new model replaces the previous one. Regulation, industrial hygiene, engineering controls, behaviour, organizational culture, systems thinking and resilience remain concurrent approaches. The practical question is which combination best fits the hazard, system complexity and decision being examined.</w:t>
      </w:r>
    </w:p>
    <w:p>
      <w:r>
        <w:br w:type="page"/>
      </w:r>
    </w:p>
    <w:p>
      <w:pPr>
        <w:pStyle w:val="Heading1"/>
      </w:pPr>
      <w:r>
        <w:t>Executive Review</w:t>
      </w:r>
    </w:p>
    <w:p>
      <w:r>
        <w:rPr>
          <w:rFonts w:ascii="Aptos" w:hAnsi="Aptos"/>
          <w:color w:val="000000"/>
          <w:sz w:val="21"/>
        </w:rPr>
        <w:t>The earlier timeline captured several influential developments: Heinrich, behaviour-based safety, safety climate, safety culture, psychological safety, leadership, habit formation, ISO 45001 and emerging technology. It was directionally useful but incomplete as a history of occupational health and safety. Its strongest theme was the movement from individual behaviour toward organizational and systems explanations.</w:t>
      </w:r>
    </w:p>
    <w:p>
      <w:pPr>
        <w:pStyle w:val="Heading2"/>
      </w:pPr>
      <w:r>
        <w:t>Important Material That Was Missing</w:t>
      </w:r>
    </w:p>
    <w:p>
      <w:pPr>
        <w:pStyle w:val="ListBullet"/>
        <w:spacing w:after="60"/>
      </w:pPr>
      <w:r>
        <w:rPr>
          <w:rFonts w:ascii="Aptos" w:hAnsi="Aptos"/>
          <w:color w:val="000000"/>
          <w:sz w:val="20"/>
        </w:rPr>
        <w:t>Occupational medicine and industrial hygiene, including the work of Bernardino Ramazzini and Alice Hamilton on disease, toxic exposure and working conditions.</w:t>
      </w:r>
    </w:p>
    <w:p>
      <w:pPr>
        <w:pStyle w:val="ListBullet"/>
        <w:spacing w:after="60"/>
      </w:pPr>
      <w:r>
        <w:rPr>
          <w:rFonts w:ascii="Aptos" w:hAnsi="Aptos"/>
          <w:color w:val="000000"/>
          <w:sz w:val="20"/>
        </w:rPr>
        <w:t>Labour activism, workers compensation, inspection and regulatory enforcement as independent drivers of prevention rather than background events.</w:t>
      </w:r>
    </w:p>
    <w:p>
      <w:pPr>
        <w:pStyle w:val="ListBullet"/>
        <w:spacing w:after="60"/>
      </w:pPr>
      <w:r>
        <w:rPr>
          <w:rFonts w:ascii="Aptos" w:hAnsi="Aptos"/>
          <w:color w:val="000000"/>
          <w:sz w:val="20"/>
        </w:rPr>
        <w:t>Ergonomics and human factors, especially the principle that equipment and work should be designed around human capabilities and limitations.</w:t>
      </w:r>
    </w:p>
    <w:p>
      <w:pPr>
        <w:pStyle w:val="ListBullet"/>
        <w:spacing w:after="60"/>
      </w:pPr>
      <w:r>
        <w:rPr>
          <w:rFonts w:ascii="Aptos" w:hAnsi="Aptos"/>
          <w:color w:val="000000"/>
          <w:sz w:val="20"/>
        </w:rPr>
        <w:t>Energy-control and injury-prevention models associated with William Haddon, which support engineering controls and the modern hierarchy of controls.</w:t>
      </w:r>
    </w:p>
    <w:p>
      <w:pPr>
        <w:pStyle w:val="ListBullet"/>
        <w:spacing w:after="60"/>
      </w:pPr>
      <w:r>
        <w:rPr>
          <w:rFonts w:ascii="Aptos" w:hAnsi="Aptos"/>
          <w:color w:val="000000"/>
          <w:sz w:val="20"/>
        </w:rPr>
        <w:t>Psychosocial occupational-health research, including job demands, decision latitude and effort-reward imbalance as features of work design rather than simply individual coping.</w:t>
      </w:r>
    </w:p>
    <w:p>
      <w:pPr>
        <w:pStyle w:val="ListBullet"/>
        <w:spacing w:after="60"/>
      </w:pPr>
      <w:r>
        <w:rPr>
          <w:rFonts w:ascii="Aptos" w:hAnsi="Aptos"/>
          <w:color w:val="000000"/>
          <w:sz w:val="20"/>
        </w:rPr>
        <w:t>Major-hazard and process-safety learning following Flixborough, Seveso, Bhopal, Chernobyl, Piper Alpha and other disasters.</w:t>
      </w:r>
    </w:p>
    <w:p>
      <w:pPr>
        <w:pStyle w:val="ListBullet"/>
        <w:spacing w:after="60"/>
      </w:pPr>
      <w:r>
        <w:rPr>
          <w:rFonts w:ascii="Aptos" w:hAnsi="Aptos"/>
          <w:color w:val="000000"/>
          <w:sz w:val="20"/>
        </w:rPr>
        <w:t>Normal Accident Theory and High Reliability Organization research, which offer competing interpretations of whether catastrophic risk can be controlled in complex, tightly coupled systems.</w:t>
      </w:r>
    </w:p>
    <w:p>
      <w:pPr>
        <w:pStyle w:val="ListBullet"/>
        <w:spacing w:after="60"/>
      </w:pPr>
      <w:r>
        <w:rPr>
          <w:rFonts w:ascii="Aptos" w:hAnsi="Aptos"/>
          <w:color w:val="000000"/>
          <w:sz w:val="20"/>
        </w:rPr>
        <w:t>James Reason's active failures, latent conditions, organizational accident model and person-versus-system distinction.</w:t>
      </w:r>
    </w:p>
    <w:p>
      <w:pPr>
        <w:pStyle w:val="ListBullet"/>
        <w:spacing w:after="60"/>
      </w:pPr>
      <w:r>
        <w:rPr>
          <w:rFonts w:ascii="Aptos" w:hAnsi="Aptos"/>
          <w:color w:val="000000"/>
          <w:sz w:val="20"/>
        </w:rPr>
        <w:t>Jens Rasmussen's dynamic risk model, system levels and migration toward performance boundaries under production and workload pressures.</w:t>
      </w:r>
    </w:p>
    <w:p>
      <w:pPr>
        <w:pStyle w:val="ListBullet"/>
        <w:spacing w:after="60"/>
      </w:pPr>
      <w:r>
        <w:rPr>
          <w:rFonts w:ascii="Aptos" w:hAnsi="Aptos"/>
          <w:color w:val="000000"/>
          <w:sz w:val="20"/>
        </w:rPr>
        <w:t>Systems-theoretic models such as AcciMap, STAMP and FRAM, plus the practical limitations of applying complex qualitative models consistently.</w:t>
      </w:r>
    </w:p>
    <w:p>
      <w:pPr>
        <w:pStyle w:val="ListBullet"/>
        <w:spacing w:after="60"/>
      </w:pPr>
      <w:r>
        <w:rPr>
          <w:rFonts w:ascii="Aptos" w:hAnsi="Aptos"/>
          <w:color w:val="000000"/>
          <w:sz w:val="20"/>
        </w:rPr>
        <w:t>Just culture, resilience engineering, Safety-II and contemporary Human and Organizational Performance approaches.</w:t>
      </w:r>
    </w:p>
    <w:p>
      <w:pPr>
        <w:pStyle w:val="ListBullet"/>
        <w:spacing w:after="60"/>
      </w:pPr>
      <w:r>
        <w:rPr>
          <w:rFonts w:ascii="Aptos" w:hAnsi="Aptos"/>
          <w:color w:val="000000"/>
          <w:sz w:val="20"/>
        </w:rPr>
        <w:t>Canadian and Ontario history, particularly the Ham Commission, the Internal Responsibility System and the 1979 Ontario Occupational Health and Safety Act.</w:t>
      </w:r>
    </w:p>
    <w:p>
      <w:pPr>
        <w:pStyle w:val="Heading2"/>
      </w:pPr>
      <w:r>
        <w:t>Corrections and Qualifications</w:t>
      </w:r>
    </w:p>
    <w:p>
      <w:pPr>
        <w:spacing w:after="100"/>
      </w:pPr>
      <w:r>
        <w:rPr>
          <w:rFonts w:ascii="Aptos" w:hAnsi="Aptos"/>
          <w:b/>
          <w:color w:val="000000"/>
          <w:sz w:val="20"/>
        </w:rPr>
        <w:t xml:space="preserve">Heinrich's 88 percent claim: </w:t>
      </w:r>
      <w:r>
        <w:rPr>
          <w:rFonts w:ascii="Aptos" w:hAnsi="Aptos"/>
          <w:color w:val="000000"/>
          <w:sz w:val="20"/>
        </w:rPr>
        <w:t>It should be presented as historically influential, not as a settled empirical fact. The underlying records and classifications were not transparent by current research standards, and the claim can direct attention away from design, exposure and management decisions.</w:t>
      </w:r>
    </w:p>
    <w:p>
      <w:pPr>
        <w:spacing w:after="100"/>
      </w:pPr>
      <w:r>
        <w:rPr>
          <w:rFonts w:ascii="Aptos" w:hAnsi="Aptos"/>
          <w:b/>
          <w:color w:val="000000"/>
          <w:sz w:val="20"/>
        </w:rPr>
        <w:t xml:space="preserve">Behaviour-based safety: </w:t>
      </w:r>
      <w:r>
        <w:rPr>
          <w:rFonts w:ascii="Aptos" w:hAnsi="Aptos"/>
          <w:color w:val="000000"/>
          <w:sz w:val="20"/>
        </w:rPr>
        <w:t>Behavioural observation and feedback can improve specified behaviours, but behaviour is not equivalent to risk. A programme can produce better checklist scores while leaving high-consequence hazards, production pressures or deficient controls unchanged.</w:t>
      </w:r>
    </w:p>
    <w:p>
      <w:pPr>
        <w:spacing w:after="100"/>
      </w:pPr>
      <w:r>
        <w:rPr>
          <w:rFonts w:ascii="Aptos" w:hAnsi="Aptos"/>
          <w:b/>
          <w:color w:val="000000"/>
          <w:sz w:val="20"/>
        </w:rPr>
        <w:t xml:space="preserve">The 66-day habit claim: </w:t>
      </w:r>
      <w:r>
        <w:rPr>
          <w:rFonts w:ascii="Aptos" w:hAnsi="Aptos"/>
          <w:color w:val="000000"/>
          <w:sz w:val="20"/>
        </w:rPr>
        <w:t>Lally and colleagues reported a median in one health-behaviour study, with wide individual variation. It was not a study of industrial safety habits and should not be treated as a universal training rule.</w:t>
      </w:r>
    </w:p>
    <w:p>
      <w:pPr>
        <w:spacing w:after="100"/>
      </w:pPr>
      <w:r>
        <w:rPr>
          <w:rFonts w:ascii="Aptos" w:hAnsi="Aptos"/>
          <w:b/>
          <w:color w:val="000000"/>
          <w:sz w:val="20"/>
        </w:rPr>
        <w:t xml:space="preserve">Psychological safety: </w:t>
      </w:r>
      <w:r>
        <w:rPr>
          <w:rFonts w:ascii="Aptos" w:hAnsi="Aptos"/>
          <w:color w:val="000000"/>
          <w:sz w:val="20"/>
        </w:rPr>
        <w:t>Psychological safety concerns interpersonal risk-taking and speaking up. It is related to, but not interchangeable with, safety climate, safety culture, mental health or freedom from physical hazards.</w:t>
      </w:r>
    </w:p>
    <w:p>
      <w:pPr>
        <w:spacing w:after="100"/>
      </w:pPr>
      <w:r>
        <w:rPr>
          <w:rFonts w:ascii="Aptos" w:hAnsi="Aptos"/>
          <w:b/>
          <w:color w:val="000000"/>
          <w:sz w:val="20"/>
        </w:rPr>
        <w:t xml:space="preserve">Swiss-cheese model: </w:t>
      </w:r>
      <w:r>
        <w:rPr>
          <w:rFonts w:ascii="Aptos" w:hAnsi="Aptos"/>
          <w:color w:val="000000"/>
          <w:sz w:val="20"/>
        </w:rPr>
        <w:t>Reason's metaphor is valuable for explaining layered defences, but it can invite an overly linear reconstruction after an event. It should be supplemented when interactions, adaptation and feedback across a complex system matter.</w:t>
      </w:r>
    </w:p>
    <w:p>
      <w:pPr>
        <w:spacing w:after="100"/>
      </w:pPr>
      <w:r>
        <w:rPr>
          <w:rFonts w:ascii="Aptos" w:hAnsi="Aptos"/>
          <w:b/>
          <w:color w:val="000000"/>
          <w:sz w:val="20"/>
        </w:rPr>
        <w:t xml:space="preserve">Safety-II and HOP: </w:t>
      </w:r>
      <w:r>
        <w:rPr>
          <w:rFonts w:ascii="Aptos" w:hAnsi="Aptos"/>
          <w:color w:val="000000"/>
          <w:sz w:val="20"/>
        </w:rPr>
        <w:t>These perspectives add learning from normal work and successful adaptation. They do not eliminate the need for regulation, engineering controls, exposure limits, maintenance or disciplined operating procedures.</w:t>
      </w:r>
    </w:p>
    <w:p>
      <w:pPr>
        <w:spacing w:after="100"/>
      </w:pPr>
      <w:r>
        <w:rPr>
          <w:rFonts w:ascii="Aptos" w:hAnsi="Aptos"/>
          <w:b/>
          <w:color w:val="000000"/>
          <w:sz w:val="20"/>
        </w:rPr>
        <w:t xml:space="preserve">Technology and artificial intelligence: </w:t>
      </w:r>
      <w:r>
        <w:rPr>
          <w:rFonts w:ascii="Aptos" w:hAnsi="Aptos"/>
          <w:color w:val="000000"/>
          <w:sz w:val="20"/>
        </w:rPr>
        <w:t>Predictive systems and wearables may support prevention, but claims require validation against meaningful outcomes. Surveillance, privacy, automation bias, false reassurance and unequal error rates are safety issues, not merely implementation concerns.</w:t>
      </w:r>
    </w:p>
    <w:p>
      <w:pPr>
        <w:pStyle w:val="Heading1"/>
      </w:pPr>
      <w:r>
        <w:t>Expanded Critical Timeline</w:t>
      </w:r>
    </w:p>
    <w:p>
      <w:r>
        <w:rPr>
          <w:rFonts w:ascii="Aptos" w:hAnsi="Aptos"/>
          <w:color w:val="000000"/>
          <w:sz w:val="21"/>
        </w:rPr>
        <w:t>The entries below combine regulatory history, research traditions and changes in professional practice. Dates identify influential publications or institutional milestones; they do not imply that an idea appeared suddenly or was universally adopted.</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51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jc w:val="center"/>
            </w:pPr>
            <w:r>
              <w:rPr>
                <w:rFonts w:ascii="Aptos" w:hAnsi="Aptos"/>
                <w:b/>
                <w:color w:val="FFFFFF"/>
                <w:sz w:val="18"/>
              </w:rPr>
              <w:t>Period</w:t>
            </w:r>
          </w:p>
        </w:tc>
        <w:tc>
          <w:tcPr>
            <w:tcW w:type="dxa" w:w="3139"/>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jc w:val="center"/>
            </w:pPr>
            <w:r>
              <w:rPr>
                <w:rFonts w:ascii="Aptos" w:hAnsi="Aptos"/>
                <w:b/>
                <w:color w:val="FFFFFF"/>
                <w:sz w:val="18"/>
              </w:rPr>
              <w:t>Researchers or development</w:t>
            </w:r>
          </w:p>
        </w:tc>
        <w:tc>
          <w:tcPr>
            <w:tcW w:type="dxa" w:w="5285"/>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jc w:val="center"/>
            </w:pPr>
            <w:r>
              <w:rPr>
                <w:rFonts w:ascii="Aptos" w:hAnsi="Aptos"/>
                <w:b/>
                <w:color w:val="FFFFFF"/>
                <w:sz w:val="18"/>
              </w:rPr>
              <w:t>Contribution and critical qualification</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1700</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Bernardino Ramazzini</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Published De Morbis Artificum Diatriba and linked disease patterns to occupations and exposures. This established a foundation for occupational medicine, although its premodern evidence base differs from contemporary epidemiology.</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1800s to early 1900s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Labour reform industrial hygiene and Alice Hamilton</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Factory legislation, workers compensation and workplace investigations made employment conditions a public responsibility. Hamilton's field investigations helped establish industrial toxicology and occupational disease prevention in North America.</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1910s to 1930s</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Safety engineering and H W Heinrich</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Insurance and engineering approaches expanded. Heinrich's domino model and unsafe-act emphasis shaped practice for decades, but his causal percentages should be treated as historical claims rather than reliable universal estimates.</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1940s to 1960s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Human factors ergonomics and sociotechnical design</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Researchers including Alphonse Chapanis and Paul Fitts demonstrated that error often reflects poor interface and task design. The focus widened from correcting workers to fitting technology and work to human capabilities.</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1960s to 1970s</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William Haddon energy control and the hierarchy of controls</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Injury prevention increasingly examined unwanted energy transfer and opportunities to eliminate, isolate or attenuate hazards. This logic supports engineering controls and prevention through design.</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1970</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Modern regulatory institutions</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The United States Occupational Safety and Health Act established OSHA and NIOSH. Similar reforms elsewhere consolidated enforceable duties, inspection, research and exposure standards.</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1974 to 1979 Ontario</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James Ham and the Internal Responsibility System</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The Ham Commission examined Ontario mine safety and articulated shared workplace responsibility, worker participation and hazard control. Its recommendations influenced Ontario's Occupational Health and Safety Act, in force in 1979.</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1970s to 1980s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Process safety and major disasters</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Flixborough, Seveso, Three Mile Island, Bhopal, Chernobyl and Piper Alpha demonstrated that catastrophic events involve design, maintenance, management of change, emergency planning and regulatory failures, not only personal safety behaviour.</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1978 onward</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Judith Komaki Kenneth Barwick Lawrence Scott and E Scott Geller</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Applied behaviour analysis showed that specific observation, goals and feedback could improve defined safe behaviours. The lasting limitation is the risk of measuring visible actions while overlooking system-generated exposure.</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1978</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Barry Turner</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Man-Made Disasters described the incubation of warning signs and organizational failures of information and interpretation before disaster.</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1980</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Dov Zohar</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Introduced safety climate as shared perceptions of the priority given to safety in organizational policies, procedures and practices. Later multilevel research showed that supervisors help create local group climates.</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1970s to 1990s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William Haddon Robert Karasek and Johannes Siegrist</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Haddon framed injury prevention as control of damaging energy before during and after an event. Karasek's demand-control model and Siegrist's effort-reward model made psychosocial work design a central occupational-health concern.</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1984 onward</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Charles Perrow and High Reliability Organization researchers</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Perrow's Normal Accident Theory argued that interactive complexity and tight coupling make some accidents difficult to prevent. Gene Rochlin Todd LaPorte Karlene Roberts Karl Weick and Kathleen Sutcliffe examined how hazardous organizations sustain reliable performance. The traditions remain productively in tension.</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1986 onward</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Safety culture</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The Chernobyl investigations popularized safety culture. Subsequent researchers including Frank Guldenmund and Dominic Cooper tried to clarify the relationship among values, practices, climate and safety-management activity.</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1990 to 2000</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James Reason</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Human Error distinguished slips lapses mistakes and violations and separated active failures from latent organizational conditions. Managing the Risks of Organizational Accidents developed the organizational accident model. His 2000 paper contrasted person and system approaches to error.</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1997</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Jens Rasmussen</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Risk management in a dynamic society modelled safety as a control problem across system levels. Organizations migrate under economic workload and safety pressures; local adaptations can gradually move work toward unsafe boundaries.</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1999 onward</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Amy Edmondson</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Psychological safety explained why teams differ in speaking up admitting uncertainty and learning from failure. It supports reporting and learning but does not itself control physical hazards.</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2000s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Mark Griffin Andrew Neal Julian Barling Michael Christian and colleagues</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Research connected climate knowledge motivation leadership compliance participation and injury outcomes. The evidence supports a multilevel view in which both people and organizational conditions influence performance.</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2004 onward</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Nancy Leveson</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STAMP reframed safety as enforcement of constraints through a hierarchical control structure. STPA and CAST extended the model to proactive hazard analysis and accident investigation in software-intensive and sociotechnical systems.</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2006 onward</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Erik Hollnagel David Woods and resilience engineering</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Resilience engineering emphasized the capacity to respond monitor learn and anticipate. FRAM examined how ordinary performance variability can combine in unexpected ways.</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2010s</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Sidney Dekker Just Culture Safety Differently and Human and Organizational Performance</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These approaches challenged blame-centred investigations and emphasized local rationality learning from work as done and the worker as a source of adaptive capacity. Their practical terminology is influential, but empirical evaluation is less mature than their practitioner adoption.</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2014 onward</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Safety-I and Safety-II</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Hollnagel distinguished preventing unwanted outcomes from understanding how acceptable performance is normally produced. Safety-II is best treated as a complementary perspective, not a replacement for hazard control.</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2018</w:t>
            </w:r>
          </w:p>
        </w:tc>
        <w:tc>
          <w:tcPr>
            <w:tcW w:type="dxa" w:w="3139"/>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ISO 45001</w:t>
            </w:r>
          </w:p>
        </w:tc>
        <w:tc>
          <w:tcPr>
            <w:tcW w:type="dxa" w:w="5285"/>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The international management-system standard emphasized organizational context leadership worker participation and integration with business processes. Certification is not proof of safety effectiveness; implementation quality and operational control remain decisive.</w:t>
            </w:r>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center"/>
            </w:pPr>
            <w:r>
              <w:rPr>
                <w:rFonts w:ascii="Aptos" w:hAnsi="Aptos"/>
                <w:b w:val="0"/>
                <w:color w:val="000000"/>
                <w:sz w:val="16"/>
              </w:rPr>
              <w:t>2020s</w:t>
            </w:r>
          </w:p>
        </w:tc>
        <w:tc>
          <w:tcPr>
            <w:tcW w:type="dxa" w:w="3139"/>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color w:val="000000"/>
                <w:sz w:val="16"/>
              </w:rPr>
              <w:t>Artificial intelligence connected systems and Total Worker Health</w:t>
            </w:r>
          </w:p>
        </w:tc>
        <w:tc>
          <w:tcPr>
            <w:tcW w:type="dxa" w:w="5285"/>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45" w:type="dxa"/>
              <w:start w:w="100" w:type="dxa"/>
              <w:bottom w:w="45" w:type="dxa"/>
              <w:end w:w="100" w:type="dxa"/>
            </w:tcMar>
          </w:tcPr>
          <w:p>
            <w:pPr>
              <w:spacing w:after="0"/>
              <w:jc w:val="left"/>
            </w:pPr>
            <w:r>
              <w:rPr>
                <w:rFonts w:ascii="Aptos" w:hAnsi="Aptos"/>
                <w:b w:val="0"/>
                <w:color w:val="000000"/>
                <w:sz w:val="16"/>
              </w:rPr>
              <w:t>Predictive analytics sensors digital work instructions and AI can support detection and learning. Research must still address validity privacy surveillance automation bias cybersecurity psychosocial effects and whether technology changes exposure or merely changes measurement.</w:t>
            </w:r>
          </w:p>
        </w:tc>
      </w:tr>
    </w:tbl>
    <w:p>
      <w:r>
        <w:br w:type="page"/>
      </w:r>
    </w:p>
    <w:p>
      <w:pPr>
        <w:pStyle w:val="Heading1"/>
      </w:pPr>
      <w:r>
        <w:t>How the Major Schools of Thought Relate</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520"/>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School</w:t>
            </w:r>
          </w:p>
        </w:tc>
        <w:tc>
          <w:tcPr>
            <w:tcW w:type="dxa" w:w="3384"/>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Primary question</w:t>
            </w:r>
          </w:p>
        </w:tc>
        <w:tc>
          <w:tcPr>
            <w:tcW w:type="dxa" w:w="4032"/>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Best use and limitation</w:t>
            </w:r>
          </w:p>
        </w:tc>
      </w:tr>
      <w:tr>
        <w:trPr>
          <w:cantSplit/>
        </w:trPr>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Industrial hygiene and occupational medicine</w:t>
            </w:r>
          </w:p>
        </w:tc>
        <w:tc>
          <w:tcPr>
            <w:tcW w:type="dxa" w:w="3384"/>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Identify and control harmful exposures and disease mechanisms.</w:t>
            </w:r>
          </w:p>
        </w:tc>
        <w:tc>
          <w:tcPr>
            <w:tcW w:type="dxa" w:w="403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Strongest when supported by measurement toxicology epidemiology and enforceable exposure controls.</w:t>
            </w:r>
          </w:p>
        </w:tc>
      </w:tr>
      <w:tr>
        <w:trPr>
          <w:cantSplit/>
        </w:trPr>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Engineering and prevention through design</w:t>
            </w:r>
          </w:p>
        </w:tc>
        <w:tc>
          <w:tcPr>
            <w:tcW w:type="dxa" w:w="3384"/>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Remove or isolate hazards through equipment process and system design.</w:t>
            </w:r>
          </w:p>
        </w:tc>
        <w:tc>
          <w:tcPr>
            <w:tcW w:type="dxa" w:w="403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Generally more reliable than controls that depend on continuous perfect behaviour.</w:t>
            </w:r>
          </w:p>
        </w:tc>
      </w:tr>
      <w:tr>
        <w:trPr>
          <w:cantSplit/>
        </w:trPr>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Behavioural safety</w:t>
            </w:r>
          </w:p>
        </w:tc>
        <w:tc>
          <w:tcPr>
            <w:tcW w:type="dxa" w:w="3384"/>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Define observe and reinforce specific actions.</w:t>
            </w:r>
          </w:p>
        </w:tc>
        <w:tc>
          <w:tcPr>
            <w:tcW w:type="dxa" w:w="403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Useful for behaviours under worker control; weak when risk is produced by design workload or organizational incentives.</w:t>
            </w:r>
          </w:p>
        </w:tc>
      </w:tr>
      <w:tr>
        <w:trPr>
          <w:cantSplit/>
        </w:trPr>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Safety climate culture and leadership</w:t>
            </w:r>
          </w:p>
        </w:tc>
        <w:tc>
          <w:tcPr>
            <w:tcW w:type="dxa" w:w="3384"/>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Explain how shared priorities and leader behaviour shape safety knowledge motivation and participation.</w:t>
            </w:r>
          </w:p>
        </w:tc>
        <w:tc>
          <w:tcPr>
            <w:tcW w:type="dxa" w:w="403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Important predictors, but survey scores are proxies and do not prove that critical controls are effective.</w:t>
            </w:r>
          </w:p>
        </w:tc>
      </w:tr>
      <w:tr>
        <w:trPr>
          <w:cantSplit/>
        </w:trPr>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Organizational accident models</w:t>
            </w:r>
          </w:p>
        </w:tc>
        <w:tc>
          <w:tcPr>
            <w:tcW w:type="dxa" w:w="3384"/>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Connect frontline events to latent conditions failed barriers and management decisions.</w:t>
            </w:r>
          </w:p>
        </w:tc>
        <w:tc>
          <w:tcPr>
            <w:tcW w:type="dxa" w:w="403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Improves breadth of investigation; may still oversimplify nonlinear interactions.</w:t>
            </w:r>
          </w:p>
        </w:tc>
      </w:tr>
      <w:tr>
        <w:trPr>
          <w:cantSplit/>
        </w:trPr>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Systems thinking</w:t>
            </w:r>
          </w:p>
        </w:tc>
        <w:tc>
          <w:tcPr>
            <w:tcW w:type="dxa" w:w="3384"/>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Model constraints feedback interactions and decisions across multiple system levels.</w:t>
            </w:r>
          </w:p>
        </w:tc>
        <w:tc>
          <w:tcPr>
            <w:tcW w:type="dxa" w:w="403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Better suited to complex systems but can be resource-intensive and sensitive to analyst interpretation.</w:t>
            </w:r>
          </w:p>
        </w:tc>
      </w:tr>
      <w:tr>
        <w:trPr>
          <w:cantSplit/>
        </w:trPr>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8"/>
              </w:rPr>
              <w:t>Resilience and Safety-II</w:t>
            </w:r>
          </w:p>
        </w:tc>
        <w:tc>
          <w:tcPr>
            <w:tcW w:type="dxa" w:w="3384"/>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Study adaptation normal work and how performance usually succeeds.</w:t>
            </w:r>
          </w:p>
        </w:tc>
        <w:tc>
          <w:tcPr>
            <w:tcW w:type="dxa" w:w="403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8"/>
              </w:rPr>
              <w:t>Adds learning from everyday work but should not dilute mandatory controls or accountability.</w:t>
            </w:r>
          </w:p>
        </w:tc>
      </w:tr>
    </w:tbl>
    <w:p>
      <w:r>
        <w:br w:type="page"/>
      </w:r>
    </w:p>
    <w:p>
      <w:pPr>
        <w:pStyle w:val="Heading1"/>
      </w:pPr>
      <w:r>
        <w:t>Academic Reading List</w:t>
      </w:r>
    </w:p>
    <w:p>
      <w:r>
        <w:rPr>
          <w:rFonts w:ascii="Aptos" w:hAnsi="Aptos"/>
          <w:color w:val="000000"/>
          <w:sz w:val="21"/>
        </w:rPr>
        <w:t>The list is sequenced rather than merely alphabetical. Start with the field-level reviews, then read the foundational papers, followed by climate and leadership research, training and habit research, and contemporary systems perspectives. Several landmark contributions are books or official reports rather than journal articles; they are identified separately because excluding them would distort the history.</w:t>
      </w:r>
    </w:p>
    <w:p>
      <w:pPr>
        <w:pStyle w:val="Heading2"/>
      </w:pPr>
      <w:r>
        <w:t>Start Here Field Overviews</w:t>
      </w:r>
    </w:p>
    <w:p>
      <w:pPr>
        <w:pStyle w:val="Reference"/>
        <w:keepNext/>
      </w:pPr>
      <w:r>
        <w:rPr>
          <w:rFonts w:ascii="Aptos" w:hAnsi="Aptos"/>
          <w:color w:val="000000"/>
          <w:sz w:val="18"/>
        </w:rPr>
        <w:t xml:space="preserve">Hofmann, D. A., Burke, M. J., &amp; Zohar, D. (2017). 100 years of occupational safety research: From basic protections and work analysis to a multilevel view of workplace safety and risk. Journal of Applied Psychology, 102(3), 375-388. </w:t>
      </w:r>
      <w:hyperlink r:id="rId9">
        <w:r>
          <w:rPr>
            <w:color w:val="0563C1"/>
            <w:u w:val="single"/>
          </w:rPr>
          <w:t>Link</w:t>
        </w:r>
      </w:hyperlink>
    </w:p>
    <w:p>
      <w:pPr>
        <w:spacing w:after="140"/>
        <w:ind w:left="360"/>
      </w:pPr>
      <w:r>
        <w:rPr>
          <w:rFonts w:ascii="Aptos" w:hAnsi="Aptos"/>
          <w:i/>
          <w:color w:val="444444"/>
          <w:sz w:val="18"/>
        </w:rPr>
        <w:t>Why read it: The strongest single orientation to the psychological and organizational research tradition and a useful map for the rest of this list.</w:t>
      </w:r>
    </w:p>
    <w:p>
      <w:pPr>
        <w:pStyle w:val="Reference"/>
        <w:keepNext/>
      </w:pPr>
      <w:r>
        <w:rPr>
          <w:rFonts w:ascii="Aptos" w:hAnsi="Aptos"/>
          <w:color w:val="000000"/>
          <w:sz w:val="18"/>
        </w:rPr>
        <w:t xml:space="preserve">Christian, M. S., Bradley, J. C., Wallace, J. C., &amp; Burke, M. J. (2009). Workplace safety: A meta-analysis of the roles of person and situation factors. Journal of Applied Psychology, 94(5), 1103-1127. </w:t>
      </w:r>
      <w:hyperlink r:id="rId10">
        <w:r>
          <w:rPr>
            <w:color w:val="0563C1"/>
            <w:u w:val="single"/>
          </w:rPr>
          <w:t>Link</w:t>
        </w:r>
      </w:hyperlink>
    </w:p>
    <w:p>
      <w:pPr>
        <w:spacing w:after="140"/>
        <w:ind w:left="360"/>
      </w:pPr>
      <w:r>
        <w:rPr>
          <w:rFonts w:ascii="Aptos" w:hAnsi="Aptos"/>
          <w:i/>
          <w:color w:val="444444"/>
          <w:sz w:val="18"/>
        </w:rPr>
        <w:t>Why read it: Synthesizes evidence that safety outcomes are jointly shaped by situational and individual factors; useful protection against one-cause explanations.</w:t>
      </w:r>
    </w:p>
    <w:p>
      <w:pPr>
        <w:pStyle w:val="Reference"/>
        <w:keepNext/>
      </w:pPr>
      <w:r>
        <w:rPr>
          <w:rFonts w:ascii="Aptos" w:hAnsi="Aptos"/>
          <w:color w:val="000000"/>
          <w:sz w:val="18"/>
        </w:rPr>
        <w:t xml:space="preserve">Grant, E., Salmon, P. M., Stevens, N. J., Goode, N., &amp; Read, G. J. M. (2018). Back to the future: What do accident causation models tell us about accident prediction? Safety Science, 104, 99-109. </w:t>
      </w:r>
      <w:hyperlink r:id="rId11">
        <w:r>
          <w:rPr>
            <w:color w:val="0563C1"/>
            <w:u w:val="single"/>
          </w:rPr>
          <w:t>Link</w:t>
        </w:r>
      </w:hyperlink>
    </w:p>
    <w:p>
      <w:pPr>
        <w:spacing w:after="140"/>
        <w:ind w:left="360"/>
      </w:pPr>
      <w:r>
        <w:rPr>
          <w:rFonts w:ascii="Aptos" w:hAnsi="Aptos"/>
          <w:i/>
          <w:color w:val="444444"/>
          <w:sz w:val="18"/>
        </w:rPr>
        <w:t>Why read it: Compares systems-oriented models and clarifies what accident models can and cannot support prospectively.</w:t>
      </w:r>
    </w:p>
    <w:p>
      <w:pPr>
        <w:pStyle w:val="Heading2"/>
      </w:pPr>
      <w:r>
        <w:t>Behaviour Climate Culture and Leadership</w:t>
      </w:r>
    </w:p>
    <w:p>
      <w:pPr>
        <w:pStyle w:val="Reference"/>
        <w:keepNext/>
      </w:pPr>
      <w:r>
        <w:rPr>
          <w:rFonts w:ascii="Aptos" w:hAnsi="Aptos"/>
          <w:color w:val="000000"/>
          <w:sz w:val="18"/>
        </w:rPr>
        <w:t xml:space="preserve">Komaki, J., Barwick, K. D., &amp; Scott, L. R. (1978). A behavioral approach to occupational safety: Pinpointing and reinforcing safe performance in a food manufacturing plant. Journal of Applied Psychology, 63(4), 434-445. </w:t>
      </w:r>
      <w:hyperlink r:id="rId12">
        <w:r>
          <w:rPr>
            <w:color w:val="0563C1"/>
            <w:u w:val="single"/>
          </w:rPr>
          <w:t>Link</w:t>
        </w:r>
      </w:hyperlink>
    </w:p>
    <w:p>
      <w:pPr>
        <w:spacing w:after="140"/>
        <w:ind w:left="360"/>
      </w:pPr>
      <w:r>
        <w:rPr>
          <w:rFonts w:ascii="Aptos" w:hAnsi="Aptos"/>
          <w:i/>
          <w:color w:val="444444"/>
          <w:sz w:val="18"/>
        </w:rPr>
        <w:t>Why read it: A foundational behavioural-safety field study. Read it for method and historical influence, while noting its narrow behavioural and setting-specific scope.</w:t>
      </w:r>
    </w:p>
    <w:p>
      <w:pPr>
        <w:pStyle w:val="Reference"/>
        <w:keepNext/>
      </w:pPr>
      <w:r>
        <w:rPr>
          <w:rFonts w:ascii="Aptos" w:hAnsi="Aptos"/>
          <w:color w:val="000000"/>
          <w:sz w:val="18"/>
        </w:rPr>
        <w:t xml:space="preserve">Zohar, D. (1980). Safety climate in industrial organizations: Theoretical and applied implications. Journal of Applied Psychology, 65(1), 96-102. </w:t>
      </w:r>
      <w:hyperlink r:id="rId13">
        <w:r>
          <w:rPr>
            <w:color w:val="0563C1"/>
            <w:u w:val="single"/>
          </w:rPr>
          <w:t>Link</w:t>
        </w:r>
      </w:hyperlink>
    </w:p>
    <w:p>
      <w:pPr>
        <w:spacing w:after="140"/>
        <w:ind w:left="360"/>
      </w:pPr>
      <w:r>
        <w:rPr>
          <w:rFonts w:ascii="Aptos" w:hAnsi="Aptos"/>
          <w:i/>
          <w:color w:val="444444"/>
          <w:sz w:val="18"/>
        </w:rPr>
        <w:t>Why read it: The foundational safety-climate article and essential background for understanding perceived organizational priority.</w:t>
      </w:r>
    </w:p>
    <w:p>
      <w:pPr>
        <w:pStyle w:val="Reference"/>
        <w:keepNext/>
      </w:pPr>
      <w:r>
        <w:rPr>
          <w:rFonts w:ascii="Aptos" w:hAnsi="Aptos"/>
          <w:color w:val="000000"/>
          <w:sz w:val="18"/>
        </w:rPr>
        <w:t xml:space="preserve">Guldenmund, F. W. (2000). The nature of safety culture: A review of theory and research. Safety Science, 34(1-3), 215-257. </w:t>
      </w:r>
      <w:hyperlink r:id="rId14">
        <w:r>
          <w:rPr>
            <w:color w:val="0563C1"/>
            <w:u w:val="single"/>
          </w:rPr>
          <w:t>Link</w:t>
        </w:r>
      </w:hyperlink>
    </w:p>
    <w:p>
      <w:pPr>
        <w:spacing w:after="140"/>
        <w:ind w:left="360"/>
      </w:pPr>
      <w:r>
        <w:rPr>
          <w:rFonts w:ascii="Aptos" w:hAnsi="Aptos"/>
          <w:i/>
          <w:color w:val="444444"/>
          <w:sz w:val="18"/>
        </w:rPr>
        <w:t>Why read it: A critical review showing why culture and climate are difficult to define and measure consistently.</w:t>
      </w:r>
    </w:p>
    <w:p>
      <w:pPr>
        <w:pStyle w:val="Reference"/>
        <w:keepNext/>
      </w:pPr>
      <w:r>
        <w:rPr>
          <w:rFonts w:ascii="Aptos" w:hAnsi="Aptos"/>
          <w:color w:val="000000"/>
          <w:sz w:val="18"/>
        </w:rPr>
        <w:t xml:space="preserve">Cooper, M. D. (2000). Towards a model of safety culture. Safety Science, 36(2), 111-136. </w:t>
      </w:r>
      <w:hyperlink r:id="rId15">
        <w:r>
          <w:rPr>
            <w:color w:val="0563C1"/>
            <w:u w:val="single"/>
          </w:rPr>
          <w:t>Link</w:t>
        </w:r>
      </w:hyperlink>
    </w:p>
    <w:p>
      <w:pPr>
        <w:spacing w:after="140"/>
        <w:ind w:left="360"/>
      </w:pPr>
      <w:r>
        <w:rPr>
          <w:rFonts w:ascii="Aptos" w:hAnsi="Aptos"/>
          <w:i/>
          <w:color w:val="444444"/>
          <w:sz w:val="18"/>
        </w:rPr>
        <w:t>Why read it: Offers a reciprocal model connecting psychological, behavioural and situational dimensions rather than reducing culture to attitudes.</w:t>
      </w:r>
    </w:p>
    <w:p>
      <w:pPr>
        <w:pStyle w:val="Reference"/>
        <w:keepNext/>
      </w:pPr>
      <w:r>
        <w:rPr>
          <w:rFonts w:ascii="Aptos" w:hAnsi="Aptos"/>
          <w:color w:val="000000"/>
          <w:sz w:val="18"/>
        </w:rPr>
        <w:t xml:space="preserve">Griffin, M. A., &amp; Neal, A. (2000). Perceptions of safety at work: A framework for linking safety climate to safety performance, knowledge, and motivation. Journal of Occupational Health Psychology, 5(3), 347-358. </w:t>
      </w:r>
      <w:hyperlink r:id="rId16">
        <w:r>
          <w:rPr>
            <w:color w:val="0563C1"/>
            <w:u w:val="single"/>
          </w:rPr>
          <w:t>Link</w:t>
        </w:r>
      </w:hyperlink>
    </w:p>
    <w:p>
      <w:pPr>
        <w:spacing w:after="140"/>
        <w:ind w:left="360"/>
      </w:pPr>
      <w:r>
        <w:rPr>
          <w:rFonts w:ascii="Aptos" w:hAnsi="Aptos"/>
          <w:i/>
          <w:color w:val="444444"/>
          <w:sz w:val="18"/>
        </w:rPr>
        <w:t>Why read it: Introduces the widely used distinction between safety compliance and safety participation and links climate to knowledge and motivation.</w:t>
      </w:r>
    </w:p>
    <w:p>
      <w:pPr>
        <w:pStyle w:val="Reference"/>
        <w:keepNext/>
      </w:pPr>
      <w:r>
        <w:rPr>
          <w:rFonts w:ascii="Aptos" w:hAnsi="Aptos"/>
          <w:color w:val="000000"/>
          <w:sz w:val="18"/>
        </w:rPr>
        <w:t xml:space="preserve">Neal, A., &amp; Griffin, M. A. (2006). A study of the lagged relationships among safety climate, safety motivation, safety behavior, and accidents at the individual and group levels. Journal of Applied Psychology, 91(4), 946-953. </w:t>
      </w:r>
      <w:hyperlink r:id="rId17">
        <w:r>
          <w:rPr>
            <w:color w:val="0563C1"/>
            <w:u w:val="single"/>
          </w:rPr>
          <w:t>Link</w:t>
        </w:r>
      </w:hyperlink>
    </w:p>
    <w:p>
      <w:pPr>
        <w:spacing w:after="140"/>
        <w:ind w:left="360"/>
      </w:pPr>
      <w:r>
        <w:rPr>
          <w:rFonts w:ascii="Aptos" w:hAnsi="Aptos"/>
          <w:i/>
          <w:color w:val="444444"/>
          <w:sz w:val="18"/>
        </w:rPr>
        <w:t>Why read it: A longitudinal multilevel test that is more informative than a cross-sectional climate survey.</w:t>
      </w:r>
    </w:p>
    <w:p>
      <w:pPr>
        <w:pStyle w:val="Reference"/>
        <w:keepNext/>
      </w:pPr>
      <w:r>
        <w:rPr>
          <w:rFonts w:ascii="Aptos" w:hAnsi="Aptos"/>
          <w:color w:val="000000"/>
          <w:sz w:val="18"/>
        </w:rPr>
        <w:t xml:space="preserve">Barling, J., Loughlin, C., &amp; Kelloway, E. K. (2002). Development and test of a model linking safety-specific transformational leadership and occupational safety. Journal of Applied Psychology, 87(3), 488-496. </w:t>
      </w:r>
      <w:hyperlink r:id="rId18">
        <w:r>
          <w:rPr>
            <w:color w:val="0563C1"/>
            <w:u w:val="single"/>
          </w:rPr>
          <w:t>Link</w:t>
        </w:r>
      </w:hyperlink>
    </w:p>
    <w:p>
      <w:pPr>
        <w:spacing w:after="140"/>
        <w:ind w:left="360"/>
      </w:pPr>
      <w:r>
        <w:rPr>
          <w:rFonts w:ascii="Aptos" w:hAnsi="Aptos"/>
          <w:i/>
          <w:color w:val="444444"/>
          <w:sz w:val="18"/>
        </w:rPr>
        <w:t>Why read it: A landmark study connecting leader behaviour, climate, safety consciousness, events and injuries.</w:t>
      </w:r>
    </w:p>
    <w:p>
      <w:pPr>
        <w:pStyle w:val="Reference"/>
        <w:keepNext/>
      </w:pPr>
      <w:r>
        <w:rPr>
          <w:rFonts w:ascii="Aptos" w:hAnsi="Aptos"/>
          <w:color w:val="000000"/>
          <w:sz w:val="18"/>
        </w:rPr>
        <w:t xml:space="preserve">Clarke, S. (2013). Safety leadership: A meta-analytic review of transformational and transactional leadership styles as antecedents of safety behaviours. Journal of Occupational and Organizational Psychology, 86(1), 22-49. </w:t>
      </w:r>
      <w:hyperlink r:id="rId19">
        <w:r>
          <w:rPr>
            <w:color w:val="0563C1"/>
            <w:u w:val="single"/>
          </w:rPr>
          <w:t>Link</w:t>
        </w:r>
      </w:hyperlink>
    </w:p>
    <w:p>
      <w:pPr>
        <w:spacing w:after="140"/>
        <w:ind w:left="360"/>
      </w:pPr>
      <w:r>
        <w:rPr>
          <w:rFonts w:ascii="Aptos" w:hAnsi="Aptos"/>
          <w:i/>
          <w:color w:val="444444"/>
          <w:sz w:val="18"/>
        </w:rPr>
        <w:t>Why read it: Shows that inspirational and monitoring-oriented leadership relate differently to participation and compliance.</w:t>
      </w:r>
    </w:p>
    <w:p>
      <w:pPr>
        <w:pStyle w:val="Heading2"/>
      </w:pPr>
      <w:r>
        <w:t>Injury Prevention and Psychosocial Occupational Health</w:t>
      </w:r>
    </w:p>
    <w:p>
      <w:pPr>
        <w:pStyle w:val="Reference"/>
        <w:keepNext/>
      </w:pPr>
      <w:r>
        <w:rPr>
          <w:rFonts w:ascii="Aptos" w:hAnsi="Aptos"/>
          <w:color w:val="000000"/>
          <w:sz w:val="18"/>
        </w:rPr>
        <w:t xml:space="preserve">Haddon, W. (1973). Energy damage and the ten countermeasure strategies. Journal of Trauma, 13(4), 321-331. </w:t>
      </w:r>
      <w:hyperlink r:id="rId20">
        <w:r>
          <w:rPr>
            <w:color w:val="0563C1"/>
            <w:u w:val="single"/>
          </w:rPr>
          <w:t>Link</w:t>
        </w:r>
      </w:hyperlink>
    </w:p>
    <w:p>
      <w:pPr>
        <w:spacing w:after="140"/>
        <w:ind w:left="360"/>
      </w:pPr>
      <w:r>
        <w:rPr>
          <w:rFonts w:ascii="Aptos" w:hAnsi="Aptos"/>
          <w:i/>
          <w:color w:val="444444"/>
          <w:sz w:val="18"/>
        </w:rPr>
        <w:t>Why read it: A concise foundation for thinking about injury as harmful energy transfer and for preferring upstream controls over reliance on individual behaviour.</w:t>
      </w:r>
    </w:p>
    <w:p>
      <w:pPr>
        <w:pStyle w:val="Reference"/>
        <w:keepNext/>
      </w:pPr>
      <w:r>
        <w:rPr>
          <w:rFonts w:ascii="Aptos" w:hAnsi="Aptos"/>
          <w:color w:val="000000"/>
          <w:sz w:val="18"/>
        </w:rPr>
        <w:t xml:space="preserve">Karasek, R. A. (1979). Job demands, job decision latitude, and mental strain: Implications for job redesign. Administrative Science Quarterly, 24(2), 285-308. </w:t>
      </w:r>
      <w:hyperlink r:id="rId21">
        <w:r>
          <w:rPr>
            <w:color w:val="0563C1"/>
            <w:u w:val="single"/>
          </w:rPr>
          <w:t>Link</w:t>
        </w:r>
      </w:hyperlink>
    </w:p>
    <w:p>
      <w:pPr>
        <w:spacing w:after="140"/>
        <w:ind w:left="360"/>
      </w:pPr>
      <w:r>
        <w:rPr>
          <w:rFonts w:ascii="Aptos" w:hAnsi="Aptos"/>
          <w:i/>
          <w:color w:val="444444"/>
          <w:sz w:val="18"/>
        </w:rPr>
        <w:t>Why read it: The foundational demand-control paper; important for keeping psychosocial work design inside, rather than outside, occupational health history.</w:t>
      </w:r>
    </w:p>
    <w:p>
      <w:pPr>
        <w:pStyle w:val="Reference"/>
        <w:keepNext/>
      </w:pPr>
      <w:r>
        <w:rPr>
          <w:rFonts w:ascii="Aptos" w:hAnsi="Aptos"/>
          <w:color w:val="000000"/>
          <w:sz w:val="18"/>
        </w:rPr>
        <w:t xml:space="preserve">Siegrist, J. (1996). Adverse health effects of high-effort/low-reward conditions. Journal of Occupational Health Psychology, 1(1), 27-41. </w:t>
      </w:r>
      <w:hyperlink r:id="rId22">
        <w:r>
          <w:rPr>
            <w:color w:val="0563C1"/>
            <w:u w:val="single"/>
          </w:rPr>
          <w:t>Link</w:t>
        </w:r>
      </w:hyperlink>
    </w:p>
    <w:p>
      <w:pPr>
        <w:spacing w:after="140"/>
        <w:ind w:left="360"/>
      </w:pPr>
      <w:r>
        <w:rPr>
          <w:rFonts w:ascii="Aptos" w:hAnsi="Aptos"/>
          <w:i/>
          <w:color w:val="444444"/>
          <w:sz w:val="18"/>
        </w:rPr>
        <w:t>Why read it: Introduces the effort-reward imbalance model and complements demand-control approaches to psychosocial hazards.</w:t>
      </w:r>
    </w:p>
    <w:p>
      <w:pPr>
        <w:pStyle w:val="Heading2"/>
      </w:pPr>
      <w:r>
        <w:t>Human Error Organizational Accidents and Systems</w:t>
      </w:r>
    </w:p>
    <w:p>
      <w:pPr>
        <w:pStyle w:val="Reference"/>
        <w:keepNext/>
      </w:pPr>
      <w:r>
        <w:rPr>
          <w:rFonts w:ascii="Aptos" w:hAnsi="Aptos"/>
          <w:color w:val="000000"/>
          <w:sz w:val="18"/>
        </w:rPr>
        <w:t xml:space="preserve">Reason, J. (2000). Human error: Models and management. BMJ, 320(7237), 768-770. </w:t>
      </w:r>
      <w:hyperlink r:id="rId23">
        <w:r>
          <w:rPr>
            <w:color w:val="0563C1"/>
            <w:u w:val="single"/>
          </w:rPr>
          <w:t>Link</w:t>
        </w:r>
      </w:hyperlink>
    </w:p>
    <w:p>
      <w:pPr>
        <w:spacing w:after="140"/>
        <w:ind w:left="360"/>
      </w:pPr>
      <w:r>
        <w:rPr>
          <w:rFonts w:ascii="Aptos" w:hAnsi="Aptos"/>
          <w:i/>
          <w:color w:val="444444"/>
          <w:sz w:val="18"/>
        </w:rPr>
        <w:t>Why read it: The most accessible primary statement of the person and system approaches to error.</w:t>
      </w:r>
    </w:p>
    <w:p>
      <w:pPr>
        <w:pStyle w:val="Reference"/>
        <w:keepNext/>
      </w:pPr>
      <w:r>
        <w:rPr>
          <w:rFonts w:ascii="Aptos" w:hAnsi="Aptos"/>
          <w:color w:val="000000"/>
          <w:sz w:val="18"/>
        </w:rPr>
        <w:t xml:space="preserve">Rasmussen, J. (1997). Risk management in a dynamic society: A modelling problem. Safety Science, 27(2-3), 183-213. </w:t>
      </w:r>
      <w:hyperlink r:id="rId24">
        <w:r>
          <w:rPr>
            <w:color w:val="0563C1"/>
            <w:u w:val="single"/>
          </w:rPr>
          <w:t>Link</w:t>
        </w:r>
      </w:hyperlink>
    </w:p>
    <w:p>
      <w:pPr>
        <w:spacing w:after="140"/>
        <w:ind w:left="360"/>
      </w:pPr>
      <w:r>
        <w:rPr>
          <w:rFonts w:ascii="Aptos" w:hAnsi="Aptos"/>
          <w:i/>
          <w:color w:val="444444"/>
          <w:sz w:val="18"/>
        </w:rPr>
        <w:t>Why read it: Foundational for multilevel risk governance, adaptation and migration toward safety boundaries under competing pressures.</w:t>
      </w:r>
    </w:p>
    <w:p>
      <w:pPr>
        <w:pStyle w:val="Reference"/>
        <w:keepNext/>
      </w:pPr>
      <w:r>
        <w:rPr>
          <w:rFonts w:ascii="Aptos" w:hAnsi="Aptos"/>
          <w:color w:val="000000"/>
          <w:sz w:val="18"/>
        </w:rPr>
        <w:t xml:space="preserve">Leveson, N. G. (2004). A new accident model for engineering safer systems. Safety Science, 42(4), 237-270. </w:t>
      </w:r>
      <w:hyperlink r:id="rId25">
        <w:r>
          <w:rPr>
            <w:color w:val="0563C1"/>
            <w:u w:val="single"/>
          </w:rPr>
          <w:t>Link</w:t>
        </w:r>
      </w:hyperlink>
    </w:p>
    <w:p>
      <w:pPr>
        <w:spacing w:after="140"/>
        <w:ind w:left="360"/>
      </w:pPr>
      <w:r>
        <w:rPr>
          <w:rFonts w:ascii="Aptos" w:hAnsi="Aptos"/>
          <w:i/>
          <w:color w:val="444444"/>
          <w:sz w:val="18"/>
        </w:rPr>
        <w:t>Why read it: Introduces STAMP and the idea that safety is an emergent control problem rather than simply a chain of component failures.</w:t>
      </w:r>
    </w:p>
    <w:p>
      <w:pPr>
        <w:pStyle w:val="Reference"/>
        <w:keepNext/>
      </w:pPr>
      <w:r>
        <w:rPr>
          <w:rFonts w:ascii="Aptos" w:hAnsi="Aptos"/>
          <w:color w:val="000000"/>
          <w:sz w:val="18"/>
        </w:rPr>
        <w:t xml:space="preserve">Underwood, P., &amp; Waterson, P. (2013). Systemic accident analysis: Examining the gap between research and practice. Accident Analysis and Prevention, 55, 154-164. </w:t>
      </w:r>
      <w:hyperlink r:id="rId26">
        <w:r>
          <w:rPr>
            <w:color w:val="0563C1"/>
            <w:u w:val="single"/>
          </w:rPr>
          <w:t>Link</w:t>
        </w:r>
      </w:hyperlink>
    </w:p>
    <w:p>
      <w:pPr>
        <w:spacing w:after="140"/>
        <w:ind w:left="360"/>
      </w:pPr>
      <w:r>
        <w:rPr>
          <w:rFonts w:ascii="Aptos" w:hAnsi="Aptos"/>
          <w:i/>
          <w:color w:val="444444"/>
          <w:sz w:val="18"/>
        </w:rPr>
        <w:t>Why read it: Important counterweight to enthusiasm for systems methods; examines the practical barriers to adoption and reliable application.</w:t>
      </w:r>
    </w:p>
    <w:p>
      <w:pPr>
        <w:pStyle w:val="Reference"/>
        <w:keepNext/>
      </w:pPr>
      <w:r>
        <w:rPr>
          <w:rFonts w:ascii="Aptos" w:hAnsi="Aptos"/>
          <w:color w:val="000000"/>
          <w:sz w:val="18"/>
        </w:rPr>
        <w:t xml:space="preserve">Larouzee, J., &amp; Le Coze, J.-C. (2020). Good and bad reasons: The Swiss cheese model and its critics. Safety Science, 126, 104660. </w:t>
      </w:r>
      <w:hyperlink r:id="rId27">
        <w:r>
          <w:rPr>
            <w:color w:val="0563C1"/>
            <w:u w:val="single"/>
          </w:rPr>
          <w:t>Link</w:t>
        </w:r>
      </w:hyperlink>
    </w:p>
    <w:p>
      <w:pPr>
        <w:spacing w:after="140"/>
        <w:ind w:left="360"/>
      </w:pPr>
      <w:r>
        <w:rPr>
          <w:rFonts w:ascii="Aptos" w:hAnsi="Aptos"/>
          <w:i/>
          <w:color w:val="444444"/>
          <w:sz w:val="18"/>
        </w:rPr>
        <w:t>Why read it: A historical and critical examination of Reason's model that helps prevent the metaphor from being used too literally.</w:t>
      </w:r>
    </w:p>
    <w:p>
      <w:pPr>
        <w:pStyle w:val="Reference"/>
        <w:keepNext/>
      </w:pPr>
      <w:r>
        <w:rPr>
          <w:rFonts w:ascii="Aptos" w:hAnsi="Aptos"/>
          <w:color w:val="000000"/>
          <w:sz w:val="18"/>
        </w:rPr>
        <w:t xml:space="preserve">Salmon, P. M., Stanton, N. A., Lenne, M. G., Jenkins, D. P., Rafferty, L., &amp; Walker, G. H. (2011). Human factors methods and accident analysis: Practical guidance and applications. Ashgate. </w:t>
      </w:r>
      <w:hyperlink r:id="rId28">
        <w:r>
          <w:rPr>
            <w:color w:val="0563C1"/>
            <w:u w:val="single"/>
          </w:rPr>
          <w:t>Link</w:t>
        </w:r>
      </w:hyperlink>
    </w:p>
    <w:p>
      <w:pPr>
        <w:spacing w:after="140"/>
        <w:ind w:left="360"/>
      </w:pPr>
      <w:r>
        <w:rPr>
          <w:rFonts w:ascii="Aptos" w:hAnsi="Aptos"/>
          <w:i/>
          <w:color w:val="444444"/>
          <w:sz w:val="18"/>
        </w:rPr>
        <w:t>Why read it: A methods-oriented bridge between theory and applied investigation; included as a scholarly book because the field's methods are not adequately represented by articles alone.</w:t>
      </w:r>
    </w:p>
    <w:p>
      <w:pPr>
        <w:pStyle w:val="Heading2"/>
      </w:pPr>
      <w:r>
        <w:t>Psychological Safety Habit and Training</w:t>
      </w:r>
    </w:p>
    <w:p>
      <w:pPr>
        <w:pStyle w:val="Reference"/>
        <w:keepNext/>
      </w:pPr>
      <w:r>
        <w:rPr>
          <w:rFonts w:ascii="Aptos" w:hAnsi="Aptos"/>
          <w:color w:val="000000"/>
          <w:sz w:val="18"/>
        </w:rPr>
        <w:t xml:space="preserve">Edmondson, A. (1999). Psychological safety and learning behavior in work teams. Administrative Science Quarterly, 44(2), 350-383. </w:t>
      </w:r>
      <w:hyperlink r:id="rId29">
        <w:r>
          <w:rPr>
            <w:color w:val="0563C1"/>
            <w:u w:val="single"/>
          </w:rPr>
          <w:t>Link</w:t>
        </w:r>
      </w:hyperlink>
    </w:p>
    <w:p>
      <w:pPr>
        <w:spacing w:after="140"/>
        <w:ind w:left="360"/>
      </w:pPr>
      <w:r>
        <w:rPr>
          <w:rFonts w:ascii="Aptos" w:hAnsi="Aptos"/>
          <w:i/>
          <w:color w:val="444444"/>
          <w:sz w:val="18"/>
        </w:rPr>
        <w:t>Why read it: The foundational empirical article. It should be read before applying the term psychological safety to reporting or safety culture.</w:t>
      </w:r>
    </w:p>
    <w:p>
      <w:pPr>
        <w:pStyle w:val="Reference"/>
        <w:keepNext/>
      </w:pPr>
      <w:r>
        <w:rPr>
          <w:rFonts w:ascii="Aptos" w:hAnsi="Aptos"/>
          <w:color w:val="000000"/>
          <w:sz w:val="18"/>
        </w:rPr>
        <w:t xml:space="preserve">Lally, P., van Jaarsveld, C. H. M., Potts, H. W. W., &amp; Wardle, J. (2010). How are habits formed: Modelling habit formation in the real world. European Journal of Social Psychology, 40(6), 998-1009. </w:t>
      </w:r>
      <w:hyperlink r:id="rId30">
        <w:r>
          <w:rPr>
            <w:color w:val="0563C1"/>
            <w:u w:val="single"/>
          </w:rPr>
          <w:t>Link</w:t>
        </w:r>
      </w:hyperlink>
    </w:p>
    <w:p>
      <w:pPr>
        <w:spacing w:after="140"/>
        <w:ind w:left="360"/>
      </w:pPr>
      <w:r>
        <w:rPr>
          <w:rFonts w:ascii="Aptos" w:hAnsi="Aptos"/>
          <w:i/>
          <w:color w:val="444444"/>
          <w:sz w:val="18"/>
        </w:rPr>
        <w:t>Why read it: The source behind the often-repeated 66-day figure. Read the variability and study context before transferring the result to safety training.</w:t>
      </w:r>
    </w:p>
    <w:p>
      <w:pPr>
        <w:pStyle w:val="Reference"/>
        <w:keepNext/>
      </w:pPr>
      <w:r>
        <w:rPr>
          <w:rFonts w:ascii="Aptos" w:hAnsi="Aptos"/>
          <w:color w:val="000000"/>
          <w:sz w:val="18"/>
        </w:rPr>
        <w:t xml:space="preserve">Wood, W., &amp; Runger, D. (2016). Psychology of habit. Annual Review of Psychology, 67, 289-314. </w:t>
      </w:r>
      <w:hyperlink r:id="rId31">
        <w:r>
          <w:rPr>
            <w:color w:val="0563C1"/>
            <w:u w:val="single"/>
          </w:rPr>
          <w:t>Link</w:t>
        </w:r>
      </w:hyperlink>
    </w:p>
    <w:p>
      <w:pPr>
        <w:spacing w:after="140"/>
        <w:ind w:left="360"/>
      </w:pPr>
      <w:r>
        <w:rPr>
          <w:rFonts w:ascii="Aptos" w:hAnsi="Aptos"/>
          <w:i/>
          <w:color w:val="444444"/>
          <w:sz w:val="18"/>
        </w:rPr>
        <w:t>Why read it: A stronger conceptual foundation for distinguishing habit, intention, routine and context-dependent automaticity.</w:t>
      </w:r>
    </w:p>
    <w:p>
      <w:pPr>
        <w:pStyle w:val="Reference"/>
        <w:keepNext/>
      </w:pPr>
      <w:r>
        <w:rPr>
          <w:rFonts w:ascii="Aptos" w:hAnsi="Aptos"/>
          <w:color w:val="000000"/>
          <w:sz w:val="18"/>
        </w:rPr>
        <w:t xml:space="preserve">Burke, M. J., Sarpy, S. A., Smith-Crowe, K., Chan-Serafin, S., Salvador, R. O., &amp; Islam, G. (2006). Relative effectiveness of worker safety and health training methods. American Journal of Public Health, 96(2), 315-324. </w:t>
      </w:r>
      <w:hyperlink r:id="rId32">
        <w:r>
          <w:rPr>
            <w:color w:val="0563C1"/>
            <w:u w:val="single"/>
          </w:rPr>
          <w:t>Link</w:t>
        </w:r>
      </w:hyperlink>
    </w:p>
    <w:p>
      <w:pPr>
        <w:spacing w:after="140"/>
        <w:ind w:left="360"/>
      </w:pPr>
      <w:r>
        <w:rPr>
          <w:rFonts w:ascii="Aptos" w:hAnsi="Aptos"/>
          <w:i/>
          <w:color w:val="444444"/>
          <w:sz w:val="18"/>
        </w:rPr>
        <w:t>Why read it: A meta-analysis supporting more engaging training methods while still requiring caution about transfer from knowledge to injury reduction.</w:t>
      </w:r>
    </w:p>
    <w:p>
      <w:pPr>
        <w:pStyle w:val="Reference"/>
        <w:keepNext/>
      </w:pPr>
      <w:r>
        <w:rPr>
          <w:rFonts w:ascii="Aptos" w:hAnsi="Aptos"/>
          <w:color w:val="000000"/>
          <w:sz w:val="18"/>
        </w:rPr>
        <w:t xml:space="preserve">Robson, L. S., et al. (2012). A systematic review of the effectiveness of occupational health and safety training. Scandinavian Journal of Work, Environment and Health, 38(3), 193-208. </w:t>
      </w:r>
      <w:hyperlink r:id="rId33">
        <w:r>
          <w:rPr>
            <w:color w:val="0563C1"/>
            <w:u w:val="single"/>
          </w:rPr>
          <w:t>Link</w:t>
        </w:r>
      </w:hyperlink>
    </w:p>
    <w:p>
      <w:pPr>
        <w:spacing w:after="140"/>
        <w:ind w:left="360"/>
      </w:pPr>
      <w:r>
        <w:rPr>
          <w:rFonts w:ascii="Aptos" w:hAnsi="Aptos"/>
          <w:i/>
          <w:color w:val="444444"/>
          <w:sz w:val="18"/>
        </w:rPr>
        <w:t>Why read it: A Canadian-led systematic review showing stronger evidence for learning and behavioural outcomes than for downstream health outcomes.</w:t>
      </w:r>
    </w:p>
    <w:p>
      <w:pPr>
        <w:pStyle w:val="Heading2"/>
      </w:pPr>
      <w:r>
        <w:t>Resilience Safety II and High Reliability</w:t>
      </w:r>
    </w:p>
    <w:p>
      <w:pPr>
        <w:pStyle w:val="Reference"/>
        <w:keepNext/>
      </w:pPr>
      <w:r>
        <w:rPr>
          <w:rFonts w:ascii="Aptos" w:hAnsi="Aptos"/>
          <w:color w:val="000000"/>
          <w:sz w:val="18"/>
        </w:rPr>
        <w:t xml:space="preserve">Sutcliffe, K. M. (2011). High reliability organizations. Best Practice and Research Clinical Anaesthesiology, 25(2), 133-144. </w:t>
      </w:r>
      <w:hyperlink r:id="rId34">
        <w:r>
          <w:rPr>
            <w:color w:val="0563C1"/>
            <w:u w:val="single"/>
          </w:rPr>
          <w:t>Link</w:t>
        </w:r>
      </w:hyperlink>
    </w:p>
    <w:p>
      <w:pPr>
        <w:spacing w:after="140"/>
        <w:ind w:left="360"/>
      </w:pPr>
      <w:r>
        <w:rPr>
          <w:rFonts w:ascii="Aptos" w:hAnsi="Aptos"/>
          <w:i/>
          <w:color w:val="444444"/>
          <w:sz w:val="18"/>
        </w:rPr>
        <w:t>Why read it: A concise scholarly introduction to the HRO tradition and its operating principles.</w:t>
      </w:r>
    </w:p>
    <w:p>
      <w:pPr>
        <w:pStyle w:val="Reference"/>
        <w:keepNext/>
      </w:pPr>
      <w:r>
        <w:rPr>
          <w:rFonts w:ascii="Aptos" w:hAnsi="Aptos"/>
          <w:color w:val="000000"/>
          <w:sz w:val="18"/>
        </w:rPr>
        <w:t xml:space="preserve">Provan, D. J., Woods, D. D., Dekker, S. W. A., &amp; Rae, A. J. (2020). Safety II professionals: How resilience engineering can transform safety practice. Reliability Engineering and System Safety, 195, 106740. </w:t>
      </w:r>
      <w:hyperlink r:id="rId35">
        <w:r>
          <w:rPr>
            <w:color w:val="0563C1"/>
            <w:u w:val="single"/>
          </w:rPr>
          <w:t>Link</w:t>
        </w:r>
      </w:hyperlink>
    </w:p>
    <w:p>
      <w:pPr>
        <w:spacing w:after="140"/>
        <w:ind w:left="360"/>
      </w:pPr>
      <w:r>
        <w:rPr>
          <w:rFonts w:ascii="Aptos" w:hAnsi="Aptos"/>
          <w:i/>
          <w:color w:val="444444"/>
          <w:sz w:val="18"/>
        </w:rPr>
        <w:t>Why read it: Connects resilience concepts to the role and daily practices of safety professionals.</w:t>
      </w:r>
    </w:p>
    <w:p>
      <w:pPr>
        <w:pStyle w:val="Reference"/>
        <w:keepNext/>
      </w:pPr>
      <w:r>
        <w:rPr>
          <w:rFonts w:ascii="Aptos" w:hAnsi="Aptos"/>
          <w:color w:val="000000"/>
          <w:sz w:val="18"/>
        </w:rPr>
        <w:t xml:space="preserve">Ham, D.-H. (2021). Safety-II and resilience engineering in a nutshell: An introductory guide to their concepts and methods. Safety and Health at Work, 12(1), 10-19. </w:t>
      </w:r>
      <w:hyperlink r:id="rId36">
        <w:r>
          <w:rPr>
            <w:color w:val="0563C1"/>
            <w:u w:val="single"/>
          </w:rPr>
          <w:t>Link</w:t>
        </w:r>
      </w:hyperlink>
    </w:p>
    <w:p>
      <w:pPr>
        <w:spacing w:after="140"/>
        <w:ind w:left="360"/>
      </w:pPr>
      <w:r>
        <w:rPr>
          <w:rFonts w:ascii="Aptos" w:hAnsi="Aptos"/>
          <w:i/>
          <w:color w:val="444444"/>
          <w:sz w:val="18"/>
        </w:rPr>
        <w:t>Why read it: A readable peer-reviewed introduction that also warns against treating Safety-I and Safety-II as mutually exclusive camps.</w:t>
      </w:r>
    </w:p>
    <w:p>
      <w:pPr>
        <w:pStyle w:val="Heading2"/>
      </w:pPr>
      <w:r>
        <w:t>Essential Books and Primary Policy Sources</w:t>
      </w:r>
    </w:p>
    <w:p>
      <w:pPr>
        <w:pStyle w:val="Reference"/>
      </w:pPr>
      <w:r>
        <w:rPr>
          <w:rFonts w:ascii="Aptos" w:hAnsi="Aptos"/>
          <w:color w:val="000000"/>
          <w:sz w:val="18"/>
        </w:rPr>
        <w:t xml:space="preserve">Reason, J. (1990). Human Error. Cambridge University Press. </w:t>
      </w:r>
      <w:hyperlink r:id="rId37">
        <w:r>
          <w:rPr>
            <w:color w:val="0563C1"/>
            <w:u w:val="single"/>
          </w:rPr>
          <w:t>Link</w:t>
        </w:r>
      </w:hyperlink>
    </w:p>
    <w:p>
      <w:pPr>
        <w:pStyle w:val="Reference"/>
      </w:pPr>
      <w:r>
        <w:rPr>
          <w:rFonts w:ascii="Aptos" w:hAnsi="Aptos"/>
          <w:color w:val="000000"/>
          <w:sz w:val="18"/>
        </w:rPr>
        <w:t xml:space="preserve">Reason, J. (1997). Managing the Risks of Organizational Accidents. Ashgate. </w:t>
      </w:r>
      <w:hyperlink r:id="rId38">
        <w:r>
          <w:rPr>
            <w:color w:val="0563C1"/>
            <w:u w:val="single"/>
          </w:rPr>
          <w:t>Link</w:t>
        </w:r>
      </w:hyperlink>
    </w:p>
    <w:p>
      <w:pPr>
        <w:pStyle w:val="Reference"/>
      </w:pPr>
      <w:r>
        <w:rPr>
          <w:rFonts w:ascii="Aptos" w:hAnsi="Aptos"/>
          <w:color w:val="000000"/>
          <w:sz w:val="18"/>
        </w:rPr>
        <w:t xml:space="preserve">Turner, B. A. (1978). Man-Made Disasters. Wykeham. </w:t>
      </w:r>
      <w:hyperlink r:id="rId39">
        <w:r>
          <w:rPr>
            <w:color w:val="0563C1"/>
            <w:u w:val="single"/>
          </w:rPr>
          <w:t>Link</w:t>
        </w:r>
      </w:hyperlink>
    </w:p>
    <w:p>
      <w:pPr>
        <w:pStyle w:val="Reference"/>
      </w:pPr>
      <w:r>
        <w:rPr>
          <w:rFonts w:ascii="Aptos" w:hAnsi="Aptos"/>
          <w:color w:val="000000"/>
          <w:sz w:val="18"/>
        </w:rPr>
        <w:t xml:space="preserve">Perrow, C. (1984). Normal Accidents. Basic Books. </w:t>
      </w:r>
      <w:hyperlink r:id="rId40">
        <w:r>
          <w:rPr>
            <w:color w:val="0563C1"/>
            <w:u w:val="single"/>
          </w:rPr>
          <w:t>Link</w:t>
        </w:r>
      </w:hyperlink>
    </w:p>
    <w:p>
      <w:pPr>
        <w:pStyle w:val="Reference"/>
      </w:pPr>
      <w:r>
        <w:rPr>
          <w:rFonts w:ascii="Aptos" w:hAnsi="Aptos"/>
          <w:color w:val="000000"/>
          <w:sz w:val="18"/>
        </w:rPr>
        <w:t xml:space="preserve">Leveson, N. G. (2011). Engineering a Safer World. MIT Press. </w:t>
      </w:r>
      <w:hyperlink r:id="rId41">
        <w:r>
          <w:rPr>
            <w:color w:val="0563C1"/>
            <w:u w:val="single"/>
          </w:rPr>
          <w:t>Link</w:t>
        </w:r>
      </w:hyperlink>
    </w:p>
    <w:p>
      <w:pPr>
        <w:pStyle w:val="Reference"/>
      </w:pPr>
      <w:r>
        <w:rPr>
          <w:rFonts w:ascii="Aptos" w:hAnsi="Aptos"/>
          <w:color w:val="000000"/>
          <w:sz w:val="18"/>
        </w:rPr>
        <w:t xml:space="preserve">Hollnagel, E. (2014). Safety-I and Safety-II. Ashgate. </w:t>
      </w:r>
      <w:hyperlink r:id="rId42">
        <w:r>
          <w:rPr>
            <w:color w:val="0563C1"/>
            <w:u w:val="single"/>
          </w:rPr>
          <w:t>Link</w:t>
        </w:r>
      </w:hyperlink>
    </w:p>
    <w:p>
      <w:pPr>
        <w:pStyle w:val="Reference"/>
      </w:pPr>
      <w:r>
        <w:rPr>
          <w:rFonts w:ascii="Aptos" w:hAnsi="Aptos"/>
          <w:color w:val="000000"/>
          <w:sz w:val="18"/>
        </w:rPr>
        <w:t xml:space="preserve">Royal Commission on the Health and Safety of Workers in Mines. (1976). Report of the Royal Commission on the Health and Safety of Workers in Mines. Government of Ontario. </w:t>
      </w:r>
      <w:hyperlink r:id="rId43">
        <w:r>
          <w:rPr>
            <w:color w:val="0563C1"/>
            <w:u w:val="single"/>
          </w:rPr>
          <w:t>Link</w:t>
        </w:r>
      </w:hyperlink>
    </w:p>
    <w:p>
      <w:pPr>
        <w:pStyle w:val="Reference"/>
      </w:pPr>
      <w:r>
        <w:rPr>
          <w:rFonts w:ascii="Aptos" w:hAnsi="Aptos"/>
          <w:color w:val="000000"/>
          <w:sz w:val="18"/>
        </w:rPr>
        <w:t xml:space="preserve">National Institute for Occupational Safety and Health. (2024). Hierarchy of Controls. </w:t>
      </w:r>
      <w:hyperlink r:id="rId44">
        <w:r>
          <w:rPr>
            <w:color w:val="0563C1"/>
            <w:u w:val="single"/>
          </w:rPr>
          <w:t>Link</w:t>
        </w:r>
      </w:hyperlink>
    </w:p>
    <w:p>
      <w:pPr>
        <w:pStyle w:val="Heading1"/>
      </w:pPr>
      <w:r>
        <w:t>Verified Author Videos</w:t>
      </w:r>
    </w:p>
    <w:p>
      <w:r>
        <w:rPr>
          <w:rFonts w:ascii="Aptos" w:hAnsi="Aptos"/>
          <w:color w:val="000000"/>
          <w:sz w:val="21"/>
        </w:rPr>
        <w:t>The videos below were selected because the named researcher appears and explains the relevant work. Secondary animated summaries were excluded where an author-led alternative was available. Availability can change, and video should supplement rather than replace the original publication.</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512"/>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Author</w:t>
            </w:r>
          </w:p>
        </w:tc>
        <w:tc>
          <w:tcPr>
            <w:tcW w:type="dxa" w:w="2520"/>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Video</w:t>
            </w:r>
          </w:p>
        </w:tc>
        <w:tc>
          <w:tcPr>
            <w:tcW w:type="dxa" w:w="4536"/>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Why it is useful</w:t>
            </w:r>
          </w:p>
        </w:tc>
        <w:tc>
          <w:tcPr>
            <w:tcW w:type="dxa" w:w="1368"/>
            <w:shd w:fill="17365D"/>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r>
              <w:rPr>
                <w:rFonts w:ascii="Aptos" w:hAnsi="Aptos"/>
                <w:b/>
                <w:color w:val="FFFFFF"/>
                <w:sz w:val="18"/>
              </w:rPr>
              <w:t>Link</w:t>
            </w:r>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James Reason</w:t>
            </w:r>
          </w:p>
        </w:tc>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Reason explains Swiss Cheese Model</w:t>
            </w:r>
          </w:p>
        </w:tc>
        <w:tc>
          <w:tcPr>
            <w:tcW w:type="dxa" w:w="45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Short archival extract in which Reason explains the defence-layer metaphor himself. Best paired with Reason's 2000 BMJ paper and the Larouzee and Le Coze critique.</w:t>
            </w:r>
          </w:p>
        </w:tc>
        <w:tc>
          <w:tcPr>
            <w:tcW w:type="dxa" w:w="13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45">
              <w:r>
                <w:rPr>
                  <w:color w:val="0563C1"/>
                  <w:u w:val="single"/>
                  <w:b/>
                </w:rPr>
                <w:t>Watch</w:t>
              </w:r>
            </w:hyperlink>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Erik Hollnagel</w:t>
            </w:r>
          </w:p>
        </w:tc>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Erik Hollnagel on delivering resilient health care</w:t>
            </w:r>
          </w:p>
        </w:tc>
        <w:tc>
          <w:tcPr>
            <w:tcW w:type="dxa" w:w="4536"/>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Keynote on resilience engineering and the move from preventing failure toward understanding successful everyday performance.</w:t>
            </w:r>
          </w:p>
        </w:tc>
        <w:tc>
          <w:tcPr>
            <w:tcW w:type="dxa" w:w="1368"/>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46">
              <w:r>
                <w:rPr>
                  <w:color w:val="0563C1"/>
                  <w:u w:val="single"/>
                  <w:b/>
                </w:rPr>
                <w:t>Watch</w:t>
              </w:r>
            </w:hyperlink>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Erik Hollnagel</w:t>
            </w:r>
          </w:p>
        </w:tc>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Beyond Safety II</w:t>
            </w:r>
          </w:p>
        </w:tc>
        <w:tc>
          <w:tcPr>
            <w:tcW w:type="dxa" w:w="45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A later presentation useful for understanding how Hollnagel's thinking developed beyond simplified Safety-I versus Safety-II comparisons.</w:t>
            </w:r>
          </w:p>
        </w:tc>
        <w:tc>
          <w:tcPr>
            <w:tcW w:type="dxa" w:w="13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47">
              <w:r>
                <w:rPr>
                  <w:color w:val="0563C1"/>
                  <w:u w:val="single"/>
                  <w:b/>
                </w:rPr>
                <w:t>Watch</w:t>
              </w:r>
            </w:hyperlink>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Nancy Leveson</w:t>
            </w:r>
          </w:p>
        </w:tc>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How to learn more from accidents</w:t>
            </w:r>
          </w:p>
        </w:tc>
        <w:tc>
          <w:tcPr>
            <w:tcW w:type="dxa" w:w="4536"/>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Leveson explains why conventional event-chain investigations miss control and feedback problems in complex systems.</w:t>
            </w:r>
          </w:p>
        </w:tc>
        <w:tc>
          <w:tcPr>
            <w:tcW w:type="dxa" w:w="1368"/>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48">
              <w:r>
                <w:rPr>
                  <w:color w:val="0563C1"/>
                  <w:u w:val="single"/>
                  <w:b/>
                </w:rPr>
                <w:t>Watch</w:t>
              </w:r>
            </w:hyperlink>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Nancy Leveson</w:t>
            </w:r>
          </w:p>
        </w:tc>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Introduction to STAMP Parts 1 and 2</w:t>
            </w:r>
          </w:p>
        </w:tc>
        <w:tc>
          <w:tcPr>
            <w:tcW w:type="dxa" w:w="45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MIT STAMP Workshop material introducing the model and its relationship to STPA and CAST.</w:t>
            </w:r>
          </w:p>
        </w:tc>
        <w:tc>
          <w:tcPr>
            <w:tcW w:type="dxa" w:w="13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49">
              <w:r>
                <w:rPr>
                  <w:color w:val="0563C1"/>
                  <w:u w:val="single"/>
                  <w:b/>
                </w:rPr>
                <w:t>Watch</w:t>
              </w:r>
            </w:hyperlink>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Amy Edmondson</w:t>
            </w:r>
          </w:p>
        </w:tc>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Building a psychologically safe workplace</w:t>
            </w:r>
          </w:p>
        </w:tc>
        <w:tc>
          <w:tcPr>
            <w:tcW w:type="dxa" w:w="4536"/>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A concise author-led introduction to speaking up, interpersonal risk and team learning. It is accessible but should be paired with her 1999 empirical paper.</w:t>
            </w:r>
          </w:p>
        </w:tc>
        <w:tc>
          <w:tcPr>
            <w:tcW w:type="dxa" w:w="1368"/>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50">
              <w:r>
                <w:rPr>
                  <w:color w:val="0563C1"/>
                  <w:u w:val="single"/>
                  <w:b/>
                </w:rPr>
                <w:t>Watch</w:t>
              </w:r>
            </w:hyperlink>
          </w:p>
        </w:tc>
      </w:tr>
      <w:tr>
        <w:trPr>
          <w:cantSplit/>
        </w:trPr>
        <w:tc>
          <w:tcPr>
            <w:tcW w:type="dxa" w:w="1512"/>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Sidney Dekker</w:t>
            </w:r>
          </w:p>
        </w:tc>
        <w:tc>
          <w:tcPr>
            <w:tcW w:type="dxa" w:w="2520"/>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Just Culture Full Lecture</w:t>
            </w:r>
          </w:p>
        </w:tc>
        <w:tc>
          <w:tcPr>
            <w:tcW w:type="dxa" w:w="4536"/>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An extended explanation of just culture, accountability and learning after failure.</w:t>
            </w:r>
          </w:p>
        </w:tc>
        <w:tc>
          <w:tcPr>
            <w:tcW w:type="dxa" w:w="1368"/>
            <w:vAlign w:val="center"/>
            <w:shd w:fill="FFFFFF"/>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51">
              <w:r>
                <w:rPr>
                  <w:color w:val="0563C1"/>
                  <w:u w:val="single"/>
                  <w:b/>
                </w:rPr>
                <w:t>Watch</w:t>
              </w:r>
            </w:hyperlink>
          </w:p>
        </w:tc>
      </w:tr>
      <w:tr>
        <w:trPr>
          <w:cantSplit/>
        </w:trPr>
        <w:tc>
          <w:tcPr>
            <w:tcW w:type="dxa" w:w="1512"/>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color w:val="000000"/>
                <w:sz w:val="17"/>
              </w:rPr>
              <w:t>Sidney Dekker</w:t>
            </w:r>
          </w:p>
        </w:tc>
        <w:tc>
          <w:tcPr>
            <w:tcW w:type="dxa" w:w="2520"/>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Safety Differently Lecture</w:t>
            </w:r>
          </w:p>
        </w:tc>
        <w:tc>
          <w:tcPr>
            <w:tcW w:type="dxa" w:w="4536"/>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spacing w:after="0"/>
            </w:pPr>
            <w:r>
              <w:rPr>
                <w:rFonts w:ascii="Aptos" w:hAnsi="Aptos"/>
                <w:b w:val="0"/>
                <w:color w:val="000000"/>
                <w:sz w:val="17"/>
              </w:rPr>
              <w:t>Explains the critique of bureaucratic control and the role of workers as sources of adaptive capacity.</w:t>
            </w:r>
          </w:p>
        </w:tc>
        <w:tc>
          <w:tcPr>
            <w:tcW w:type="dxa" w:w="1368"/>
            <w:vAlign w:val="center"/>
            <w:shd w:fill="F5F7FA"/>
            <w:tcBorders>
              <w:top w:val="single" w:sz="4" w:color="D9D9D9"/>
              <w:left w:val="single" w:sz="4" w:color="D9D9D9"/>
              <w:bottom w:val="single" w:sz="4" w:color="D9D9D9"/>
              <w:right w:val="single" w:sz="4" w:color="D9D9D9"/>
              <w:insideH w:val="single" w:sz="4" w:color="D9D9D9"/>
              <w:insideV w:val="single" w:sz="4" w:color="D9D9D9"/>
            </w:tcBorders>
            <w:tcMar>
              <w:top w:w="90" w:type="dxa"/>
              <w:start w:w="100" w:type="dxa"/>
              <w:bottom w:w="90" w:type="dxa"/>
              <w:end w:w="100" w:type="dxa"/>
            </w:tcMar>
          </w:tcPr>
          <w:p>
            <w:pPr>
              <w:jc w:val="center"/>
            </w:pPr>
            <w:hyperlink r:id="rId52">
              <w:r>
                <w:rPr>
                  <w:color w:val="0563C1"/>
                  <w:u w:val="single"/>
                  <w:b/>
                </w:rPr>
                <w:t>Watch</w:t>
              </w:r>
            </w:hyperlink>
          </w:p>
        </w:tc>
      </w:tr>
    </w:tbl>
    <w:p>
      <w:pPr>
        <w:pStyle w:val="Heading2"/>
      </w:pPr>
      <w:r>
        <w:t>Researchers Without a Verified Author Led Video</w:t>
      </w:r>
    </w:p>
    <w:p>
      <w:r>
        <w:rPr>
          <w:rFonts w:ascii="Aptos" w:hAnsi="Aptos"/>
          <w:color w:val="000000"/>
          <w:sz w:val="21"/>
        </w:rPr>
        <w:t>No sufficiently clear author-led YouTube presentation was verified for Jens Rasmussen, Dov Zohar, Judith Komaki, Mark Griffin or Andrew Neal during this review. Secondary summaries exist, but they were not substituted because they introduce an additional layer of interpretation. For these researchers, the original publications remain the preferred source.</w:t>
      </w:r>
    </w:p>
    <w:p>
      <w:pPr>
        <w:pStyle w:val="Heading1"/>
      </w:pPr>
      <w:r>
        <w:t>Recommended Reading Sequence</w:t>
      </w:r>
    </w:p>
    <w:p>
      <w:pPr>
        <w:pStyle w:val="ListNumber"/>
        <w:spacing w:after="60"/>
      </w:pPr>
      <w:r>
        <w:rPr>
          <w:rFonts w:ascii="Aptos" w:hAnsi="Aptos"/>
          <w:color w:val="000000"/>
          <w:sz w:val="20"/>
        </w:rPr>
        <w:t>Read Hofmann, Burke and Zohar (2017) first to establish the overall map of occupational-safety research.</w:t>
      </w:r>
    </w:p>
    <w:p>
      <w:pPr>
        <w:pStyle w:val="ListNumber"/>
        <w:spacing w:after="60"/>
      </w:pPr>
      <w:r>
        <w:rPr>
          <w:rFonts w:ascii="Aptos" w:hAnsi="Aptos"/>
          <w:color w:val="000000"/>
          <w:sz w:val="20"/>
        </w:rPr>
        <w:t>Read Reason (2000), Rasmussen (1997) and Leveson (2004) together. Compare what each treats as the unit of analysis: barriers and organizational conditions, dynamic migration across system levels, or inadequate control and feedback.</w:t>
      </w:r>
    </w:p>
    <w:p>
      <w:pPr>
        <w:pStyle w:val="ListNumber"/>
        <w:spacing w:after="60"/>
      </w:pPr>
      <w:r>
        <w:rPr>
          <w:rFonts w:ascii="Aptos" w:hAnsi="Aptos"/>
          <w:color w:val="000000"/>
          <w:sz w:val="20"/>
        </w:rPr>
        <w:t>Read Zohar (1980), Griffin and Neal (2000), Neal and Griffin (2006), and Barling et al. (2002) to understand how climate, motivation, behaviour and leadership connect.</w:t>
      </w:r>
    </w:p>
    <w:p>
      <w:pPr>
        <w:pStyle w:val="ListNumber"/>
        <w:spacing w:after="60"/>
      </w:pPr>
      <w:r>
        <w:rPr>
          <w:rFonts w:ascii="Aptos" w:hAnsi="Aptos"/>
          <w:color w:val="000000"/>
          <w:sz w:val="20"/>
        </w:rPr>
        <w:t>Read Haddon (1973), Karasek (1979) and Siegrist (1996) to connect injury control and psychosocial work design to the broader history of occupational health.</w:t>
      </w:r>
    </w:p>
    <w:p>
      <w:pPr>
        <w:pStyle w:val="ListNumber"/>
        <w:spacing w:after="60"/>
      </w:pPr>
      <w:r>
        <w:rPr>
          <w:rFonts w:ascii="Aptos" w:hAnsi="Aptos"/>
          <w:color w:val="000000"/>
          <w:sz w:val="20"/>
        </w:rPr>
        <w:t>Read Komaki et al. (1978) beside Christian et al. (2009) so that behavioural interventions are interpreted within a broader person-and-situation model.</w:t>
      </w:r>
    </w:p>
    <w:p>
      <w:pPr>
        <w:pStyle w:val="ListNumber"/>
        <w:spacing w:after="60"/>
      </w:pPr>
      <w:r>
        <w:rPr>
          <w:rFonts w:ascii="Aptos" w:hAnsi="Aptos"/>
          <w:color w:val="000000"/>
          <w:sz w:val="20"/>
        </w:rPr>
        <w:t>Read Lally et al. (2010) and Wood and Runger (2016) before describing safety behaviour as habit. Do not equate repeated compliance with automaticity without evidence.</w:t>
      </w:r>
    </w:p>
    <w:p>
      <w:pPr>
        <w:pStyle w:val="ListNumber"/>
        <w:spacing w:after="60"/>
      </w:pPr>
      <w:r>
        <w:rPr>
          <w:rFonts w:ascii="Aptos" w:hAnsi="Aptos"/>
          <w:color w:val="000000"/>
          <w:sz w:val="20"/>
        </w:rPr>
        <w:t>Finish with Provan et al. (2020), Ham (2021) and the selected Hollnagel and Dekker videos. Evaluate what these approaches add and what they leave to conventional engineering, regulation and industrial hygiene.</w:t>
      </w:r>
    </w:p>
    <w:p>
      <w:r>
        <w:br w:type="page"/>
      </w:r>
    </w:p>
    <w:p>
      <w:pPr>
        <w:pStyle w:val="Heading1"/>
      </w:pPr>
      <w:r>
        <w:t>Final Assessment</w:t>
      </w:r>
    </w:p>
    <w:p>
      <w:r>
        <w:rPr>
          <w:rFonts w:ascii="Aptos" w:hAnsi="Aptos"/>
          <w:color w:val="000000"/>
          <w:sz w:val="21"/>
        </w:rPr>
        <w:t>A defensible history of safety must retain three parallel stories. The first is the struggle for legal rights, worker voice and enforceable duties. The second is the development of technical prevention through industrial hygiene, engineering and design. The third is the evolution of explanations for behaviour, organization and complex-system failure. A timeline that tells only the third story risks making safety appear to be primarily an intellectual progression rather than a political, technical and organizational achievement.</w:t>
      </w:r>
    </w:p>
    <w:p>
      <w:r>
        <w:rPr>
          <w:rFonts w:ascii="Aptos" w:hAnsi="Aptos"/>
          <w:b/>
          <w:color w:val="000000"/>
          <w:sz w:val="21"/>
        </w:rPr>
        <w:t>For teaching purposes, the strongest organizing question is not which model is newest. It is what each model makes visible, what it leaves invisible, and what decisions it can responsibly support.</w:t>
      </w:r>
    </w:p>
    <w:sectPr w:rsidR="00FC693F" w:rsidRPr="0006063C" w:rsidSect="00034616">
      <w:footerReference w:type="default" r:id="rId53"/>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44444"/>
        <w:sz w:val="17"/>
      </w:rPr>
      <w:t xml:space="preserve">History of Occupational Health and Safety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ptos Display" w:hAnsi="Aptos Display"/>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ind w:left="360" w:hanging="360"/>
    </w:pPr>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1037/apl0000114" TargetMode="External"/><Relationship Id="rId10" Type="http://schemas.openxmlformats.org/officeDocument/2006/relationships/hyperlink" Target="https://doi.org/10.1037/a0016172" TargetMode="External"/><Relationship Id="rId11" Type="http://schemas.openxmlformats.org/officeDocument/2006/relationships/hyperlink" Target="https://doi.org/10.1016/j.ssci.2017.12.018" TargetMode="External"/><Relationship Id="rId12" Type="http://schemas.openxmlformats.org/officeDocument/2006/relationships/hyperlink" Target="https://doi.org/10.1037/0021-9010.63.4.434" TargetMode="External"/><Relationship Id="rId13" Type="http://schemas.openxmlformats.org/officeDocument/2006/relationships/hyperlink" Target="https://doi.org/10.1037/0021-9010.65.1.96" TargetMode="External"/><Relationship Id="rId14" Type="http://schemas.openxmlformats.org/officeDocument/2006/relationships/hyperlink" Target="https://doi.org/10.1016/S0925-7535(00)00014-X" TargetMode="External"/><Relationship Id="rId15" Type="http://schemas.openxmlformats.org/officeDocument/2006/relationships/hyperlink" Target="https://doi.org/10.1016/S0925-7535(00)00035-7" TargetMode="External"/><Relationship Id="rId16" Type="http://schemas.openxmlformats.org/officeDocument/2006/relationships/hyperlink" Target="https://doi.org/10.1037/1076-8998.5.3.347" TargetMode="External"/><Relationship Id="rId17" Type="http://schemas.openxmlformats.org/officeDocument/2006/relationships/hyperlink" Target="https://doi.org/10.1037/0021-9010.91.4.946" TargetMode="External"/><Relationship Id="rId18" Type="http://schemas.openxmlformats.org/officeDocument/2006/relationships/hyperlink" Target="https://doi.org/10.1037/0021-9010.87.3.488" TargetMode="External"/><Relationship Id="rId19" Type="http://schemas.openxmlformats.org/officeDocument/2006/relationships/hyperlink" Target="https://doi.org/10.1111/j.2044-8325.2012.02064.x" TargetMode="External"/><Relationship Id="rId20" Type="http://schemas.openxmlformats.org/officeDocument/2006/relationships/hyperlink" Target="https://doi.org/10.1097/00005373-197304000-00011" TargetMode="External"/><Relationship Id="rId21" Type="http://schemas.openxmlformats.org/officeDocument/2006/relationships/hyperlink" Target="https://doi.org/10.2307/2392498" TargetMode="External"/><Relationship Id="rId22" Type="http://schemas.openxmlformats.org/officeDocument/2006/relationships/hyperlink" Target="https://doi.org/10.1037/1076-8998.1.1.27" TargetMode="External"/><Relationship Id="rId23" Type="http://schemas.openxmlformats.org/officeDocument/2006/relationships/hyperlink" Target="https://doi.org/10.1136/bmj.320.7237.768" TargetMode="External"/><Relationship Id="rId24" Type="http://schemas.openxmlformats.org/officeDocument/2006/relationships/hyperlink" Target="https://doi.org/10.1016/S0925-7535(97)00052-0" TargetMode="External"/><Relationship Id="rId25" Type="http://schemas.openxmlformats.org/officeDocument/2006/relationships/hyperlink" Target="https://doi.org/10.1016/S0925-7535(03)00047-X" TargetMode="External"/><Relationship Id="rId26" Type="http://schemas.openxmlformats.org/officeDocument/2006/relationships/hyperlink" Target="https://doi.org/10.1016/j.aap.2013.02.041" TargetMode="External"/><Relationship Id="rId27" Type="http://schemas.openxmlformats.org/officeDocument/2006/relationships/hyperlink" Target="https://doi.org/10.1016/j.ssci.2020.104660" TargetMode="External"/><Relationship Id="rId28" Type="http://schemas.openxmlformats.org/officeDocument/2006/relationships/hyperlink" Target="https://www.routledge.com/Human-Factors-Methods-and-Accident-Analysis-Practical-Guidance-and-Case/Salmon-Stanton-Lenne-Jenkins-Rafferty-Walker/p/book/9781409405191" TargetMode="External"/><Relationship Id="rId29" Type="http://schemas.openxmlformats.org/officeDocument/2006/relationships/hyperlink" Target="https://doi.org/10.2307/2666999" TargetMode="External"/><Relationship Id="rId30" Type="http://schemas.openxmlformats.org/officeDocument/2006/relationships/hyperlink" Target="https://doi.org/10.1002/ejsp.674" TargetMode="External"/><Relationship Id="rId31" Type="http://schemas.openxmlformats.org/officeDocument/2006/relationships/hyperlink" Target="https://doi.org/10.1146/annurev-psych-122414-033417" TargetMode="External"/><Relationship Id="rId32" Type="http://schemas.openxmlformats.org/officeDocument/2006/relationships/hyperlink" Target="https://doi.org/10.2105/AJPH.2004.059840" TargetMode="External"/><Relationship Id="rId33" Type="http://schemas.openxmlformats.org/officeDocument/2006/relationships/hyperlink" Target="https://doi.org/10.5271/sjweh.3259" TargetMode="External"/><Relationship Id="rId34" Type="http://schemas.openxmlformats.org/officeDocument/2006/relationships/hyperlink" Target="https://doi.org/10.1016/j.bpa.2011.03.001" TargetMode="External"/><Relationship Id="rId35" Type="http://schemas.openxmlformats.org/officeDocument/2006/relationships/hyperlink" Target="https://doi.org/10.1016/j.ress.2019.106740" TargetMode="External"/><Relationship Id="rId36" Type="http://schemas.openxmlformats.org/officeDocument/2006/relationships/hyperlink" Target="https://doi.org/10.1016/j.shaw.2020.11.004" TargetMode="External"/><Relationship Id="rId37" Type="http://schemas.openxmlformats.org/officeDocument/2006/relationships/hyperlink" Target="https://doi.org/10.1017/CBO9781139062367" TargetMode="External"/><Relationship Id="rId38" Type="http://schemas.openxmlformats.org/officeDocument/2006/relationships/hyperlink" Target="https://www.routledge.com/Managing-the-Risks-of-Organizational-Accidents/Reason/p/book/9781840141054" TargetMode="External"/><Relationship Id="rId39" Type="http://schemas.openxmlformats.org/officeDocument/2006/relationships/hyperlink" Target="https://search.worldcat.org/title/man-made-disasters/oclc/1335736292" TargetMode="External"/><Relationship Id="rId40" Type="http://schemas.openxmlformats.org/officeDocument/2006/relationships/hyperlink" Target="https://press.princeton.edu/books/paperback/9780691004129/normal-accidents" TargetMode="External"/><Relationship Id="rId41" Type="http://schemas.openxmlformats.org/officeDocument/2006/relationships/hyperlink" Target="https://mitpress.mit.edu/9780262533690/engineering-a-safer-world/" TargetMode="External"/><Relationship Id="rId42" Type="http://schemas.openxmlformats.org/officeDocument/2006/relationships/hyperlink" Target="https://doi.org/10.1201/9781315607511" TargetMode="External"/><Relationship Id="rId43" Type="http://schemas.openxmlformats.org/officeDocument/2006/relationships/hyperlink" Target="https://www.ontario.ca/document/final-report-mining-health-safety-and-prevention-review/internal-responsibility-system" TargetMode="External"/><Relationship Id="rId44" Type="http://schemas.openxmlformats.org/officeDocument/2006/relationships/hyperlink" Target="https://www.cdc.gov/niosh/hierarchy-of-controls/about/index.html" TargetMode="External"/><Relationship Id="rId45" Type="http://schemas.openxmlformats.org/officeDocument/2006/relationships/hyperlink" Target="https://www.youtube.com/watch?v=KND5py-z8yI" TargetMode="External"/><Relationship Id="rId46" Type="http://schemas.openxmlformats.org/officeDocument/2006/relationships/hyperlink" Target="https://www.youtube.com/watch?v=VZio7lfyDOU" TargetMode="External"/><Relationship Id="rId47" Type="http://schemas.openxmlformats.org/officeDocument/2006/relationships/hyperlink" Target="https://www.youtube.com/watch?v=k3edoK59kKM" TargetMode="External"/><Relationship Id="rId48" Type="http://schemas.openxmlformats.org/officeDocument/2006/relationships/hyperlink" Target="https://www.youtube.com/watch?v=9DJjFyDew8o" TargetMode="External"/><Relationship Id="rId49" Type="http://schemas.openxmlformats.org/officeDocument/2006/relationships/hyperlink" Target="https://www.youtube.com/watch?v=_ptmjAbacMk" TargetMode="External"/><Relationship Id="rId50" Type="http://schemas.openxmlformats.org/officeDocument/2006/relationships/hyperlink" Target="https://www.youtube.com/watch?v=LhoLuui9gX8" TargetMode="External"/><Relationship Id="rId51" Type="http://schemas.openxmlformats.org/officeDocument/2006/relationships/hyperlink" Target="https://www.youtube.com/watch?v=gKqYMpWZbV8" TargetMode="External"/><Relationship Id="rId52" Type="http://schemas.openxmlformats.org/officeDocument/2006/relationships/hyperlink" Target="https://www.youtube.com/watch?v=lHpes5sK8KA"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of Occupational Health and Safety and Safety Thought</dc:title>
  <dc:subject>Critical timeline key researchers academic reading list and author videos</dc:subject>
  <dc:creator>Brett Humphrey</dc:creator>
  <cp:keywords/>
  <dc:description>generated by python-docx</dc:description>
  <cp:lastModifiedBy/>
  <cp:revision>1</cp:revision>
  <dcterms:created xsi:type="dcterms:W3CDTF">2013-12-23T23:15:00Z</dcterms:created>
  <dcterms:modified xsi:type="dcterms:W3CDTF">2013-12-23T23:15:00Z</dcterms:modified>
  <cp:category/>
</cp:coreProperties>
</file>